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480"/>
        </w:tabs>
        <w:spacing w:line="640" w:lineRule="exact"/>
        <w:jc w:val="left"/>
        <w:rPr>
          <w:rFonts w:hint="eastAsia" w:eastAsia="黑体" w:cs="方正小标宋简体"/>
          <w:szCs w:val="32"/>
        </w:rPr>
      </w:pPr>
      <w:r>
        <w:rPr>
          <w:rFonts w:hint="eastAsia" w:eastAsia="黑体" w:cs="方正小标宋简体"/>
          <w:szCs w:val="32"/>
        </w:rPr>
        <w:t>附件1</w:t>
      </w:r>
    </w:p>
    <w:p>
      <w:pPr>
        <w:widowControl/>
        <w:spacing w:line="640" w:lineRule="exact"/>
        <w:jc w:val="center"/>
        <w:rPr>
          <w:rFonts w:hint="eastAsia" w:eastAsia="方正小标宋简体" w:cs="方正小标宋简体"/>
          <w:sz w:val="36"/>
          <w:szCs w:val="36"/>
        </w:rPr>
      </w:pPr>
      <w:r>
        <w:rPr>
          <w:rFonts w:hint="eastAsia" w:eastAsia="方正小标宋简体" w:cs="方正小标宋简体"/>
          <w:color w:val="000000"/>
          <w:sz w:val="36"/>
          <w:szCs w:val="36"/>
          <w:lang w:val="en-US" w:eastAsia="zh-CN"/>
        </w:rPr>
        <w:t>茶庵</w:t>
      </w:r>
      <w:r>
        <w:rPr>
          <w:rFonts w:hint="eastAsia" w:eastAsia="方正小标宋简体" w:cs="方正小标宋简体"/>
          <w:color w:val="000000"/>
          <w:sz w:val="36"/>
          <w:szCs w:val="36"/>
        </w:rPr>
        <w:t>村党组织</w:t>
      </w:r>
      <w:r>
        <w:rPr>
          <w:rFonts w:hint="eastAsia" w:eastAsia="方正小标宋简体" w:cs="方正小标宋简体"/>
          <w:color w:val="000000"/>
          <w:spacing w:val="-6"/>
          <w:sz w:val="36"/>
          <w:szCs w:val="36"/>
        </w:rPr>
        <w:t>落实巡察整改进展清单</w:t>
      </w:r>
    </w:p>
    <w:tbl>
      <w:tblPr>
        <w:tblStyle w:val="5"/>
        <w:tblW w:w="63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70"/>
        <w:gridCol w:w="3389"/>
        <w:gridCol w:w="1281"/>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ign w:val="center"/>
          </w:tcPr>
          <w:p>
            <w:pPr>
              <w:widowControl/>
              <w:jc w:val="center"/>
              <w:rPr>
                <w:rFonts w:eastAsia="黑体" w:cs="宋体"/>
                <w:kern w:val="0"/>
                <w:sz w:val="24"/>
              </w:rPr>
            </w:pPr>
            <w:r>
              <w:rPr>
                <w:rFonts w:hint="eastAsia" w:eastAsia="黑体" w:cs="宋体"/>
                <w:kern w:val="0"/>
                <w:sz w:val="24"/>
              </w:rPr>
              <w:t>序号</w:t>
            </w:r>
          </w:p>
        </w:tc>
        <w:tc>
          <w:tcPr>
            <w:tcW w:w="137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3389"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281" w:type="dxa"/>
            <w:noWrap/>
            <w:vAlign w:val="center"/>
          </w:tcPr>
          <w:p>
            <w:pPr>
              <w:widowControl/>
              <w:jc w:val="center"/>
              <w:rPr>
                <w:rFonts w:eastAsia="黑体" w:cs="黑体"/>
                <w:sz w:val="24"/>
              </w:rPr>
            </w:pPr>
            <w:r>
              <w:rPr>
                <w:rFonts w:hint="eastAsia" w:eastAsia="黑体" w:cs="黑体"/>
                <w:sz w:val="24"/>
              </w:rPr>
              <w:t>整改进度</w:t>
            </w:r>
          </w:p>
        </w:tc>
        <w:tc>
          <w:tcPr>
            <w:tcW w:w="3982"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750" w:type="dxa"/>
            <w:noWrap/>
            <w:vAlign w:val="center"/>
          </w:tcPr>
          <w:p>
            <w:pPr>
              <w:widowControl/>
              <w:spacing w:line="240" w:lineRule="exact"/>
              <w:jc w:val="center"/>
              <w:rPr>
                <w:rFonts w:hint="eastAsia" w:ascii="Times New Roman" w:hAnsi="Times New Roman" w:cs="仿宋_GB2312"/>
                <w:kern w:val="0"/>
                <w:sz w:val="21"/>
                <w:szCs w:val="21"/>
              </w:rPr>
            </w:pPr>
            <w:r>
              <w:rPr>
                <w:rFonts w:hint="eastAsia" w:ascii="Times New Roman" w:hAnsi="Times New Roman" w:cs="仿宋_GB2312"/>
                <w:kern w:val="0"/>
                <w:sz w:val="21"/>
                <w:szCs w:val="21"/>
              </w:rPr>
              <w:t>1</w:t>
            </w:r>
          </w:p>
        </w:tc>
        <w:tc>
          <w:tcPr>
            <w:tcW w:w="1370"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落实巡察整改不到位</w:t>
            </w: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整改责任未压紧压实，部分问题依然存在。如龙门农庄借款至今未收回。</w:t>
            </w:r>
          </w:p>
        </w:tc>
        <w:tc>
          <w:tcPr>
            <w:tcW w:w="1281" w:type="dxa"/>
            <w:vAlign w:val="center"/>
          </w:tcPr>
          <w:p>
            <w:pPr>
              <w:widowControl/>
              <w:spacing w:line="240" w:lineRule="exact"/>
              <w:jc w:val="center"/>
              <w:rPr>
                <w:rFonts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（1）</w:t>
            </w:r>
            <w:r>
              <w:rPr>
                <w:rFonts w:hint="eastAsia" w:cs="仿宋_GB2312"/>
                <w:kern w:val="0"/>
                <w:sz w:val="21"/>
                <w:szCs w:val="21"/>
                <w:lang w:val="en-US" w:eastAsia="zh-CN"/>
              </w:rPr>
              <w:t>茶庵村委在整改中，专门</w:t>
            </w:r>
            <w:r>
              <w:rPr>
                <w:rFonts w:hint="eastAsia" w:cs="仿宋_GB2312"/>
                <w:kern w:val="0"/>
                <w:sz w:val="21"/>
                <w:szCs w:val="21"/>
              </w:rPr>
              <w:t>成立</w:t>
            </w:r>
            <w:r>
              <w:rPr>
                <w:rFonts w:hint="eastAsia" w:cs="仿宋_GB2312"/>
                <w:kern w:val="0"/>
                <w:sz w:val="21"/>
                <w:szCs w:val="21"/>
                <w:lang w:val="en-US" w:eastAsia="zh-CN"/>
              </w:rPr>
              <w:t>了</w:t>
            </w:r>
            <w:r>
              <w:rPr>
                <w:rFonts w:hint="eastAsia" w:cs="仿宋_GB2312"/>
                <w:kern w:val="0"/>
                <w:sz w:val="21"/>
                <w:szCs w:val="21"/>
              </w:rPr>
              <w:t>工作小组，明确要“新官理旧账”，针对龙门农庄借款问题进行资料再收集并进行调查分析；（2）</w:t>
            </w:r>
            <w:r>
              <w:rPr>
                <w:rFonts w:hint="eastAsia" w:cs="仿宋_GB2312"/>
                <w:kern w:val="0"/>
                <w:sz w:val="21"/>
                <w:szCs w:val="21"/>
                <w:lang w:val="en-US" w:eastAsia="zh-CN"/>
              </w:rPr>
              <w:t>2020年4月，茶庵村委与龙门农庄法人已签订新还款协议，要求</w:t>
            </w:r>
            <w:r>
              <w:rPr>
                <w:rFonts w:hint="eastAsia" w:cs="仿宋_GB2312"/>
                <w:kern w:val="0"/>
                <w:sz w:val="21"/>
                <w:szCs w:val="21"/>
              </w:rPr>
              <w:t>严格按照目前协议</w:t>
            </w:r>
            <w:r>
              <w:rPr>
                <w:rFonts w:hint="eastAsia" w:cs="仿宋_GB2312"/>
                <w:kern w:val="0"/>
                <w:sz w:val="21"/>
                <w:szCs w:val="21"/>
                <w:lang w:val="en-US" w:eastAsia="zh-CN"/>
              </w:rPr>
              <w:t>计划还款</w:t>
            </w:r>
            <w:r>
              <w:rPr>
                <w:rFonts w:hint="eastAsia" w:cs="仿宋_GB2312"/>
                <w:kern w:val="0"/>
                <w:sz w:val="21"/>
                <w:szCs w:val="21"/>
              </w:rPr>
              <w:t>，村委</w:t>
            </w:r>
            <w:r>
              <w:rPr>
                <w:rFonts w:hint="eastAsia" w:cs="仿宋_GB2312"/>
                <w:kern w:val="0"/>
                <w:sz w:val="21"/>
                <w:szCs w:val="21"/>
                <w:lang w:val="en-US" w:eastAsia="zh-CN"/>
              </w:rPr>
              <w:t>积极</w:t>
            </w:r>
            <w:r>
              <w:rPr>
                <w:rFonts w:hint="eastAsia" w:cs="仿宋_GB2312"/>
                <w:kern w:val="0"/>
                <w:sz w:val="21"/>
                <w:szCs w:val="21"/>
              </w:rPr>
              <w:t>催缴，现</w:t>
            </w:r>
            <w:r>
              <w:rPr>
                <w:rFonts w:hint="eastAsia" w:cs="仿宋_GB2312"/>
                <w:kern w:val="0"/>
                <w:sz w:val="21"/>
                <w:szCs w:val="21"/>
                <w:lang w:val="en-US" w:eastAsia="zh-CN"/>
              </w:rPr>
              <w:t>还在新</w:t>
            </w:r>
            <w:r>
              <w:rPr>
                <w:rFonts w:hint="eastAsia" w:cs="仿宋_GB2312"/>
                <w:kern w:val="0"/>
                <w:sz w:val="21"/>
                <w:szCs w:val="21"/>
              </w:rPr>
              <w:t>还款协议时限</w:t>
            </w:r>
            <w:r>
              <w:rPr>
                <w:rFonts w:hint="eastAsia" w:cs="仿宋_GB2312"/>
                <w:kern w:val="0"/>
                <w:sz w:val="21"/>
                <w:szCs w:val="21"/>
                <w:lang w:val="en-US" w:eastAsia="zh-CN"/>
              </w:rPr>
              <w:t>内。针对龙门农庄还款困难等实际情况，</w:t>
            </w:r>
            <w:r>
              <w:rPr>
                <w:rFonts w:hint="eastAsia" w:cs="仿宋_GB2312"/>
                <w:kern w:val="0"/>
                <w:sz w:val="21"/>
                <w:szCs w:val="21"/>
              </w:rPr>
              <w:t>村委</w:t>
            </w:r>
            <w:r>
              <w:rPr>
                <w:rFonts w:hint="eastAsia" w:cs="仿宋_GB2312"/>
                <w:kern w:val="0"/>
                <w:sz w:val="21"/>
                <w:szCs w:val="21"/>
                <w:lang w:val="en-US" w:eastAsia="zh-CN"/>
              </w:rPr>
              <w:t>也与龙门农庄法人、</w:t>
            </w:r>
            <w:r>
              <w:rPr>
                <w:rFonts w:hint="eastAsia" w:cs="仿宋_GB2312"/>
                <w:kern w:val="0"/>
                <w:sz w:val="21"/>
                <w:szCs w:val="21"/>
              </w:rPr>
              <w:t>上级部门积极沟通，必要时</w:t>
            </w:r>
            <w:r>
              <w:rPr>
                <w:rFonts w:hint="eastAsia" w:cs="仿宋_GB2312"/>
                <w:kern w:val="0"/>
                <w:sz w:val="21"/>
                <w:szCs w:val="21"/>
                <w:lang w:val="en-US" w:eastAsia="zh-CN"/>
              </w:rPr>
              <w:t>将</w:t>
            </w:r>
            <w:r>
              <w:rPr>
                <w:rFonts w:hint="eastAsia" w:cs="仿宋_GB2312"/>
                <w:kern w:val="0"/>
                <w:sz w:val="21"/>
                <w:szCs w:val="21"/>
              </w:rPr>
              <w:t>使用法律武器维护集体利益；（3）村委组织对有关集体资产管理办法进行了再学习，在今后的资产管理中严格执行相关制度，杜绝类似问题发生。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750" w:type="dxa"/>
            <w:vAlign w:val="center"/>
          </w:tcPr>
          <w:p>
            <w:pPr>
              <w:widowControl/>
              <w:spacing w:line="240" w:lineRule="exact"/>
              <w:jc w:val="center"/>
              <w:rPr>
                <w:rFonts w:hint="eastAsia" w:ascii="Times New Roman" w:hAnsi="Times New Roman" w:cs="仿宋_GB2312"/>
                <w:kern w:val="0"/>
                <w:sz w:val="21"/>
                <w:szCs w:val="21"/>
                <w:lang w:val="en-US" w:eastAsia="zh-CN"/>
              </w:rPr>
            </w:pPr>
            <w:r>
              <w:rPr>
                <w:rFonts w:hint="eastAsia" w:ascii="Times New Roman" w:hAnsi="Times New Roman" w:cs="仿宋_GB2312"/>
                <w:kern w:val="0"/>
                <w:sz w:val="21"/>
                <w:szCs w:val="21"/>
                <w:lang w:val="en-US" w:eastAsia="zh-CN"/>
              </w:rPr>
              <w:t>2</w:t>
            </w:r>
          </w:p>
        </w:tc>
        <w:tc>
          <w:tcPr>
            <w:tcW w:w="1370" w:type="dxa"/>
            <w:vAlign w:val="center"/>
          </w:tcPr>
          <w:p>
            <w:pPr>
              <w:widowControl/>
              <w:spacing w:line="240" w:lineRule="exact"/>
              <w:jc w:val="left"/>
              <w:rPr>
                <w:rFonts w:hint="eastAsia" w:cs="仿宋_GB2312"/>
                <w:kern w:val="0"/>
                <w:sz w:val="21"/>
                <w:szCs w:val="21"/>
              </w:rPr>
            </w:pPr>
            <w:r>
              <w:rPr>
                <w:rFonts w:hint="eastAsia" w:cs="仿宋_GB2312"/>
                <w:kern w:val="0"/>
                <w:sz w:val="21"/>
                <w:szCs w:val="21"/>
                <w:lang w:eastAsia="zh-CN"/>
              </w:rPr>
              <w:t>“</w:t>
            </w:r>
            <w:r>
              <w:rPr>
                <w:rFonts w:hint="eastAsia" w:cs="仿宋_GB2312"/>
                <w:kern w:val="0"/>
                <w:sz w:val="21"/>
                <w:szCs w:val="21"/>
              </w:rPr>
              <w:t>263”专项整治长效机制未落实</w:t>
            </w: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新魏路两侧排水渠垃圾乱倒、村内旱厕改造不彻底等问题群众反映强烈。</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（1）新魏璐两侧排水渠已全部清理干净，村委持续巩固目前新魏</w:t>
            </w:r>
            <w:r>
              <w:rPr>
                <w:rFonts w:hint="eastAsia" w:cs="仿宋_GB2312"/>
                <w:kern w:val="0"/>
                <w:sz w:val="21"/>
                <w:szCs w:val="21"/>
                <w:lang w:val="en-US" w:eastAsia="zh-CN"/>
              </w:rPr>
              <w:t>路</w:t>
            </w:r>
            <w:r>
              <w:rPr>
                <w:rFonts w:hint="eastAsia" w:cs="仿宋_GB2312"/>
                <w:kern w:val="0"/>
                <w:sz w:val="21"/>
                <w:szCs w:val="21"/>
              </w:rPr>
              <w:t>两侧环境卫生情况，加设</w:t>
            </w:r>
            <w:r>
              <w:rPr>
                <w:rFonts w:hint="eastAsia" w:cs="仿宋_GB2312"/>
                <w:kern w:val="0"/>
                <w:sz w:val="21"/>
                <w:szCs w:val="21"/>
                <w:lang w:val="en-US" w:eastAsia="zh-CN"/>
              </w:rPr>
              <w:t>了</w:t>
            </w:r>
            <w:r>
              <w:rPr>
                <w:rFonts w:hint="eastAsia" w:cs="仿宋_GB2312"/>
                <w:kern w:val="0"/>
                <w:sz w:val="21"/>
                <w:szCs w:val="21"/>
              </w:rPr>
              <w:t>警示牌，</w:t>
            </w:r>
            <w:r>
              <w:rPr>
                <w:rFonts w:hint="eastAsia" w:cs="仿宋_GB2312"/>
                <w:kern w:val="0"/>
                <w:sz w:val="21"/>
                <w:szCs w:val="21"/>
                <w:lang w:val="en-US" w:eastAsia="zh-CN"/>
              </w:rPr>
              <w:t>后续将</w:t>
            </w:r>
            <w:r>
              <w:rPr>
                <w:rFonts w:hint="eastAsia" w:cs="仿宋_GB2312"/>
                <w:kern w:val="0"/>
                <w:sz w:val="21"/>
                <w:szCs w:val="21"/>
              </w:rPr>
              <w:t>加强垃圾乱倒监管；（2）</w:t>
            </w:r>
            <w:r>
              <w:rPr>
                <w:rFonts w:hint="eastAsia" w:cs="仿宋_GB2312"/>
                <w:kern w:val="0"/>
                <w:sz w:val="21"/>
                <w:szCs w:val="21"/>
                <w:lang w:val="en-US" w:eastAsia="zh-CN"/>
              </w:rPr>
              <w:t>村委</w:t>
            </w:r>
            <w:r>
              <w:rPr>
                <w:rFonts w:hint="eastAsia" w:cs="仿宋_GB2312"/>
                <w:kern w:val="0"/>
                <w:sz w:val="21"/>
                <w:szCs w:val="21"/>
              </w:rPr>
              <w:t>主动与街道城管、长效办等相关部门衔接</w:t>
            </w:r>
            <w:r>
              <w:rPr>
                <w:rFonts w:hint="eastAsia" w:cs="仿宋_GB2312"/>
                <w:kern w:val="0"/>
                <w:sz w:val="21"/>
                <w:szCs w:val="21"/>
                <w:lang w:eastAsia="zh-CN"/>
              </w:rPr>
              <w:t>，</w:t>
            </w:r>
            <w:r>
              <w:rPr>
                <w:rFonts w:hint="eastAsia" w:cs="仿宋_GB2312"/>
                <w:kern w:val="0"/>
                <w:sz w:val="21"/>
                <w:szCs w:val="21"/>
                <w:lang w:val="en-US" w:eastAsia="zh-CN"/>
              </w:rPr>
              <w:t>如实反映了目前村里</w:t>
            </w:r>
            <w:r>
              <w:rPr>
                <w:rFonts w:hint="eastAsia" w:cs="仿宋_GB2312"/>
                <w:kern w:val="0"/>
                <w:sz w:val="21"/>
                <w:szCs w:val="21"/>
              </w:rPr>
              <w:t>对旱厕进行集中整治或取缔</w:t>
            </w:r>
            <w:r>
              <w:rPr>
                <w:rFonts w:hint="eastAsia" w:cs="仿宋_GB2312"/>
                <w:kern w:val="0"/>
                <w:sz w:val="21"/>
                <w:szCs w:val="21"/>
                <w:lang w:val="en-US" w:eastAsia="zh-CN"/>
              </w:rPr>
              <w:t>的计划以及目前存在的困难</w:t>
            </w:r>
            <w:r>
              <w:rPr>
                <w:rFonts w:hint="eastAsia" w:cs="仿宋_GB2312"/>
                <w:kern w:val="0"/>
                <w:sz w:val="21"/>
                <w:szCs w:val="21"/>
              </w:rPr>
              <w:t>；（3）</w:t>
            </w:r>
            <w:r>
              <w:rPr>
                <w:rFonts w:hint="eastAsia" w:cs="仿宋_GB2312"/>
                <w:kern w:val="0"/>
                <w:sz w:val="21"/>
                <w:szCs w:val="21"/>
                <w:lang w:val="en-US" w:eastAsia="zh-CN"/>
              </w:rPr>
              <w:t>第一时间</w:t>
            </w:r>
            <w:r>
              <w:rPr>
                <w:rFonts w:hint="eastAsia" w:cs="仿宋_GB2312"/>
                <w:kern w:val="0"/>
                <w:sz w:val="21"/>
                <w:szCs w:val="21"/>
              </w:rPr>
              <w:t>召开</w:t>
            </w:r>
            <w:r>
              <w:rPr>
                <w:rFonts w:hint="eastAsia" w:cs="仿宋_GB2312"/>
                <w:kern w:val="0"/>
                <w:sz w:val="21"/>
                <w:szCs w:val="21"/>
                <w:lang w:val="en-US" w:eastAsia="zh-CN"/>
              </w:rPr>
              <w:t>了</w:t>
            </w:r>
            <w:r>
              <w:rPr>
                <w:rFonts w:hint="eastAsia" w:cs="仿宋_GB2312"/>
                <w:kern w:val="0"/>
                <w:sz w:val="21"/>
                <w:szCs w:val="21"/>
              </w:rPr>
              <w:t>队长会议，针对</w:t>
            </w:r>
            <w:r>
              <w:rPr>
                <w:rFonts w:hint="eastAsia" w:cs="仿宋_GB2312"/>
                <w:kern w:val="0"/>
                <w:sz w:val="21"/>
                <w:szCs w:val="21"/>
                <w:lang w:val="en-US" w:eastAsia="zh-CN"/>
              </w:rPr>
              <w:t>群众反映强烈的问题和</w:t>
            </w:r>
            <w:r>
              <w:rPr>
                <w:rFonts w:hint="eastAsia" w:cs="仿宋_GB2312"/>
                <w:kern w:val="0"/>
                <w:sz w:val="21"/>
                <w:szCs w:val="21"/>
              </w:rPr>
              <w:t>村民实际使用需要，</w:t>
            </w:r>
            <w:r>
              <w:rPr>
                <w:rFonts w:hint="eastAsia" w:cs="仿宋_GB2312"/>
                <w:kern w:val="0"/>
                <w:sz w:val="21"/>
                <w:szCs w:val="21"/>
                <w:lang w:val="en-US" w:eastAsia="zh-CN"/>
              </w:rPr>
              <w:t>后续将有计划地</w:t>
            </w:r>
            <w:r>
              <w:rPr>
                <w:rFonts w:hint="eastAsia" w:cs="仿宋_GB2312"/>
                <w:kern w:val="0"/>
                <w:sz w:val="21"/>
                <w:szCs w:val="21"/>
              </w:rPr>
              <w:t>对村内旱厕</w:t>
            </w:r>
            <w:r>
              <w:rPr>
                <w:rFonts w:hint="eastAsia" w:cs="仿宋_GB2312"/>
                <w:kern w:val="0"/>
                <w:sz w:val="21"/>
                <w:szCs w:val="21"/>
                <w:lang w:val="en-US" w:eastAsia="zh-CN"/>
              </w:rPr>
              <w:t>将</w:t>
            </w:r>
            <w:r>
              <w:rPr>
                <w:rFonts w:hint="eastAsia" w:cs="仿宋_GB2312"/>
                <w:kern w:val="0"/>
                <w:sz w:val="21"/>
                <w:szCs w:val="21"/>
              </w:rPr>
              <w:t>进行逐步取缔或改造。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jc w:val="center"/>
        </w:trPr>
        <w:tc>
          <w:tcPr>
            <w:tcW w:w="750" w:type="dxa"/>
            <w:vAlign w:val="center"/>
          </w:tcPr>
          <w:p>
            <w:pPr>
              <w:widowControl/>
              <w:spacing w:line="240" w:lineRule="exact"/>
              <w:jc w:val="center"/>
              <w:rPr>
                <w:rFonts w:hint="eastAsia" w:ascii="Times New Roman" w:hAnsi="Times New Roman" w:eastAsia="仿宋_GB2312" w:cs="仿宋_GB2312"/>
                <w:kern w:val="0"/>
                <w:sz w:val="21"/>
                <w:szCs w:val="21"/>
                <w:lang w:val="en-US" w:eastAsia="zh-CN"/>
              </w:rPr>
            </w:pPr>
            <w:r>
              <w:rPr>
                <w:rFonts w:hint="eastAsia" w:ascii="Times New Roman" w:hAnsi="Times New Roman" w:cs="仿宋_GB2312"/>
                <w:kern w:val="0"/>
                <w:sz w:val="21"/>
                <w:szCs w:val="21"/>
                <w:lang w:val="en-US" w:eastAsia="zh-CN"/>
              </w:rPr>
              <w:t>3</w:t>
            </w:r>
          </w:p>
        </w:tc>
        <w:tc>
          <w:tcPr>
            <w:tcW w:w="1370"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意识形态工作重视不够</w:t>
            </w: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意识形态责任意识不强，对民间宗教场所如白土城隍庙（原圆通庵）情况了解不透，管理不到位。</w:t>
            </w:r>
          </w:p>
        </w:tc>
        <w:tc>
          <w:tcPr>
            <w:tcW w:w="1281" w:type="dxa"/>
            <w:vAlign w:val="center"/>
          </w:tcPr>
          <w:p>
            <w:pPr>
              <w:widowControl/>
              <w:spacing w:line="240" w:lineRule="exact"/>
              <w:jc w:val="center"/>
              <w:rPr>
                <w:rFonts w:hint="eastAsia" w:eastAsia="仿宋_GB2312" w:cs="仿宋_GB2312"/>
                <w:kern w:val="0"/>
                <w:sz w:val="21"/>
                <w:szCs w:val="21"/>
                <w:lang w:eastAsia="zh-CN"/>
              </w:rPr>
            </w:pPr>
            <w:r>
              <w:rPr>
                <w:rFonts w:hint="eastAsia" w:cs="仿宋_GB2312"/>
                <w:kern w:val="0"/>
                <w:sz w:val="21"/>
                <w:szCs w:val="21"/>
                <w:lang w:val="en-US" w:eastAsia="zh-CN"/>
              </w:rPr>
              <w:t>已完成整改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（1）强化意识形态工作责任落实，明确支部书记按照“一岗双责”要求，对职责范围内的意识形态工作负领导责任；（2）结合区《民间场所管理办法》等文件精神，</w:t>
            </w:r>
            <w:r>
              <w:rPr>
                <w:rFonts w:hint="eastAsia" w:cs="仿宋_GB2312"/>
                <w:kern w:val="0"/>
                <w:sz w:val="21"/>
                <w:szCs w:val="21"/>
                <w:lang w:val="en-US" w:eastAsia="zh-CN"/>
              </w:rPr>
              <w:t>已</w:t>
            </w:r>
            <w:r>
              <w:rPr>
                <w:rFonts w:hint="eastAsia" w:cs="仿宋_GB2312"/>
                <w:kern w:val="0"/>
                <w:sz w:val="21"/>
                <w:szCs w:val="21"/>
              </w:rPr>
              <w:t>将</w:t>
            </w:r>
            <w:r>
              <w:rPr>
                <w:rFonts w:hint="eastAsia" w:cs="仿宋_GB2312"/>
                <w:kern w:val="0"/>
                <w:sz w:val="21"/>
                <w:szCs w:val="21"/>
                <w:lang w:val="en-US" w:eastAsia="zh-CN"/>
              </w:rPr>
              <w:t>相关</w:t>
            </w:r>
            <w:r>
              <w:rPr>
                <w:rFonts w:hint="eastAsia" w:cs="仿宋_GB2312"/>
                <w:kern w:val="0"/>
                <w:sz w:val="21"/>
                <w:szCs w:val="21"/>
              </w:rPr>
              <w:t>文件制度上墙；（3）街道宣统办牵头，在白土城</w:t>
            </w:r>
            <w:bookmarkStart w:id="0" w:name="_GoBack"/>
            <w:bookmarkEnd w:id="0"/>
            <w:r>
              <w:rPr>
                <w:rFonts w:hint="eastAsia" w:cs="仿宋_GB2312"/>
                <w:kern w:val="0"/>
                <w:sz w:val="21"/>
                <w:szCs w:val="21"/>
              </w:rPr>
              <w:t>隍庙安装</w:t>
            </w:r>
            <w:r>
              <w:rPr>
                <w:rFonts w:hint="eastAsia" w:cs="仿宋_GB2312"/>
                <w:kern w:val="0"/>
                <w:sz w:val="21"/>
                <w:szCs w:val="21"/>
                <w:lang w:val="en-US" w:eastAsia="zh-CN"/>
              </w:rPr>
              <w:t>了</w:t>
            </w:r>
            <w:r>
              <w:rPr>
                <w:rFonts w:hint="eastAsia" w:cs="仿宋_GB2312"/>
                <w:kern w:val="0"/>
                <w:sz w:val="21"/>
                <w:szCs w:val="21"/>
              </w:rPr>
              <w:t>派出所专线监控，严禁违法宗教活动；（4）形成财务经济公示制度，白土城隍庙所有收入开支一律入账并上墙公示，接受群众监督，功德箱在三人以上（支部书记、会计和其他证明人）监督下一季度一开并进行清点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50" w:type="dxa"/>
            <w:vMerge w:val="restart"/>
            <w:vAlign w:val="center"/>
          </w:tcPr>
          <w:p>
            <w:pPr>
              <w:widowControl/>
              <w:spacing w:line="240" w:lineRule="exact"/>
              <w:jc w:val="center"/>
              <w:rPr>
                <w:rFonts w:hint="eastAsia" w:ascii="Times New Roman" w:hAnsi="Times New Roman" w:eastAsia="仿宋_GB2312" w:cs="仿宋_GB2312"/>
                <w:kern w:val="0"/>
                <w:sz w:val="21"/>
                <w:szCs w:val="21"/>
                <w:lang w:eastAsia="zh-CN"/>
              </w:rPr>
            </w:pPr>
            <w:r>
              <w:rPr>
                <w:rFonts w:hint="eastAsia" w:ascii="Times New Roman" w:hAnsi="Times New Roman" w:cs="仿宋_GB2312"/>
                <w:kern w:val="0"/>
                <w:sz w:val="21"/>
                <w:szCs w:val="21"/>
                <w:lang w:val="en-US" w:eastAsia="zh-CN"/>
              </w:rPr>
              <w:t>4</w:t>
            </w:r>
          </w:p>
        </w:tc>
        <w:tc>
          <w:tcPr>
            <w:tcW w:w="1370" w:type="dxa"/>
            <w:vMerge w:val="restart"/>
            <w:vAlign w:val="center"/>
          </w:tcPr>
          <w:p>
            <w:pPr>
              <w:widowControl/>
              <w:spacing w:line="240" w:lineRule="exact"/>
              <w:jc w:val="center"/>
              <w:rPr>
                <w:rFonts w:hint="eastAsia" w:cs="仿宋_GB2312"/>
                <w:kern w:val="0"/>
                <w:sz w:val="21"/>
                <w:szCs w:val="21"/>
              </w:rPr>
            </w:pPr>
            <w:r>
              <w:rPr>
                <w:rFonts w:hint="eastAsia" w:cs="仿宋_GB2312"/>
                <w:kern w:val="0"/>
                <w:sz w:val="21"/>
                <w:szCs w:val="21"/>
              </w:rPr>
              <w:t>党风廉政建设落实不到位</w:t>
            </w: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全面从严治党主体责任落实不力，支委会研究党风廉政建设不多。</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严格落实党风廉政建设主体责任，党支部每年年初专题研究制定党风廉政建设工作计划，定期召开党风廉政建设工作专题会议，研究村党支部党风廉政建设情况；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0" w:type="dxa"/>
            <w:vMerge w:val="continue"/>
            <w:vAlign w:val="center"/>
          </w:tcPr>
          <w:p>
            <w:pPr>
              <w:widowControl/>
              <w:spacing w:line="240" w:lineRule="exact"/>
              <w:jc w:val="center"/>
              <w:rPr>
                <w:rFonts w:hint="eastAsia" w:ascii="Times New Roman" w:hAnsi="Times New Roman" w:cs="仿宋_GB2312"/>
                <w:kern w:val="0"/>
                <w:sz w:val="21"/>
                <w:szCs w:val="21"/>
              </w:rPr>
            </w:pPr>
          </w:p>
        </w:tc>
        <w:tc>
          <w:tcPr>
            <w:tcW w:w="1370" w:type="dxa"/>
            <w:vMerge w:val="continue"/>
            <w:vAlign w:val="center"/>
          </w:tcPr>
          <w:p>
            <w:pPr>
              <w:widowControl/>
              <w:spacing w:line="240" w:lineRule="exact"/>
              <w:jc w:val="left"/>
              <w:rPr>
                <w:rFonts w:hint="eastAsia" w:cs="仿宋_GB2312"/>
                <w:kern w:val="0"/>
                <w:sz w:val="21"/>
                <w:szCs w:val="21"/>
              </w:rPr>
            </w:pP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“一把手”责任履行不到位，对党员教育提醒不多，未见谈心谈话记录。</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支部书记定期对党员进行提醒教育和谈心谈话，增强责任意识，提高政治鉴别力。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continue"/>
            <w:vAlign w:val="center"/>
          </w:tcPr>
          <w:p>
            <w:pPr>
              <w:widowControl/>
              <w:spacing w:line="240" w:lineRule="exact"/>
              <w:jc w:val="center"/>
              <w:rPr>
                <w:rFonts w:hint="eastAsia" w:ascii="Times New Roman" w:hAnsi="Times New Roman" w:cs="仿宋_GB2312"/>
                <w:kern w:val="0"/>
                <w:sz w:val="21"/>
                <w:szCs w:val="21"/>
              </w:rPr>
            </w:pPr>
          </w:p>
        </w:tc>
        <w:tc>
          <w:tcPr>
            <w:tcW w:w="1370" w:type="dxa"/>
            <w:vMerge w:val="continue"/>
            <w:vAlign w:val="center"/>
          </w:tcPr>
          <w:p>
            <w:pPr>
              <w:widowControl/>
              <w:spacing w:line="240" w:lineRule="exact"/>
              <w:jc w:val="left"/>
              <w:rPr>
                <w:rFonts w:hint="eastAsia" w:cs="仿宋_GB2312"/>
                <w:kern w:val="0"/>
                <w:sz w:val="21"/>
                <w:szCs w:val="21"/>
              </w:rPr>
            </w:pP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近3年共3名党员受到党纪处理。</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党支部与支委签订全面从严治党责任书，进一步压实党风廉政建设主题责任；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restart"/>
            <w:vAlign w:val="center"/>
          </w:tcPr>
          <w:p>
            <w:pPr>
              <w:widowControl/>
              <w:spacing w:line="240" w:lineRule="exact"/>
              <w:jc w:val="center"/>
              <w:rPr>
                <w:rFonts w:hint="eastAsia" w:ascii="Times New Roman" w:hAnsi="Times New Roman" w:eastAsia="仿宋_GB2312" w:cs="仿宋_GB2312"/>
                <w:kern w:val="0"/>
                <w:sz w:val="21"/>
                <w:szCs w:val="21"/>
                <w:lang w:val="en-US" w:eastAsia="zh-CN"/>
              </w:rPr>
            </w:pPr>
            <w:r>
              <w:rPr>
                <w:rFonts w:hint="eastAsia" w:ascii="Times New Roman" w:hAnsi="Times New Roman" w:cs="仿宋_GB2312"/>
                <w:kern w:val="0"/>
                <w:sz w:val="21"/>
                <w:szCs w:val="21"/>
                <w:lang w:val="en-US" w:eastAsia="zh-CN"/>
              </w:rPr>
              <w:t>5</w:t>
            </w:r>
          </w:p>
        </w:tc>
        <w:tc>
          <w:tcPr>
            <w:tcW w:w="1370" w:type="dxa"/>
            <w:vMerge w:val="restart"/>
            <w:vAlign w:val="center"/>
          </w:tcPr>
          <w:p>
            <w:pPr>
              <w:widowControl/>
              <w:spacing w:line="240" w:lineRule="exact"/>
              <w:jc w:val="left"/>
              <w:rPr>
                <w:rFonts w:hint="eastAsia" w:cs="仿宋_GB2312"/>
                <w:kern w:val="0"/>
                <w:sz w:val="21"/>
                <w:szCs w:val="21"/>
              </w:rPr>
            </w:pPr>
            <w:r>
              <w:rPr>
                <w:rFonts w:hint="eastAsia" w:cs="仿宋_GB2312"/>
                <w:kern w:val="0"/>
                <w:sz w:val="21"/>
                <w:szCs w:val="21"/>
              </w:rPr>
              <w:t>财务制度执行不严格</w:t>
            </w: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党员外出学习费用无具体明细；</w:t>
            </w:r>
          </w:p>
        </w:tc>
        <w:tc>
          <w:tcPr>
            <w:tcW w:w="1281" w:type="dxa"/>
            <w:vAlign w:val="center"/>
          </w:tcPr>
          <w:p>
            <w:pPr>
              <w:widowControl/>
              <w:spacing w:line="240" w:lineRule="exact"/>
              <w:jc w:val="center"/>
              <w:rPr>
                <w:rFonts w:hint="default" w:eastAsia="仿宋_GB2312" w:cs="仿宋_GB2312"/>
                <w:kern w:val="0"/>
                <w:sz w:val="21"/>
                <w:szCs w:val="21"/>
                <w:lang w:val="en-US" w:eastAsia="zh-CN"/>
              </w:rPr>
            </w:pPr>
            <w:r>
              <w:rPr>
                <w:rFonts w:hint="eastAsia" w:cs="仿宋_GB2312"/>
                <w:kern w:val="0"/>
                <w:sz w:val="21"/>
                <w:szCs w:val="21"/>
                <w:lang w:val="en-US" w:eastAsia="zh-CN"/>
              </w:rPr>
              <w:t>已完成整改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组织工作人员再学习《新桥镇基层党组织党建活动经费管理办法》，与上级部门积极沟通，完善相关财务手续；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continue"/>
            <w:vAlign w:val="center"/>
          </w:tcPr>
          <w:p>
            <w:pPr>
              <w:widowControl/>
              <w:spacing w:line="240" w:lineRule="exact"/>
              <w:jc w:val="center"/>
              <w:rPr>
                <w:rFonts w:hint="eastAsia" w:ascii="Times New Roman" w:hAnsi="Times New Roman" w:cs="仿宋_GB2312"/>
                <w:kern w:val="0"/>
                <w:sz w:val="21"/>
                <w:szCs w:val="21"/>
              </w:rPr>
            </w:pPr>
          </w:p>
        </w:tc>
        <w:tc>
          <w:tcPr>
            <w:tcW w:w="1370" w:type="dxa"/>
            <w:vMerge w:val="continue"/>
            <w:vAlign w:val="center"/>
          </w:tcPr>
          <w:p>
            <w:pPr>
              <w:widowControl/>
              <w:spacing w:line="240" w:lineRule="exact"/>
              <w:jc w:val="left"/>
              <w:rPr>
                <w:rFonts w:hint="eastAsia" w:cs="仿宋_GB2312"/>
                <w:kern w:val="0"/>
                <w:sz w:val="21"/>
                <w:szCs w:val="21"/>
              </w:rPr>
            </w:pP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道路工程款仍有6.58万元往来挂账未解决。</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lang w:val="en-US" w:eastAsia="zh-CN"/>
              </w:rPr>
              <w:t>已完成整改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道路工程款挂账情况已处理完毕。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Align w:val="center"/>
          </w:tcPr>
          <w:p>
            <w:pPr>
              <w:widowControl/>
              <w:spacing w:line="240" w:lineRule="exact"/>
              <w:jc w:val="center"/>
              <w:rPr>
                <w:rFonts w:hint="eastAsia" w:ascii="Times New Roman" w:hAnsi="Times New Roman" w:eastAsia="仿宋_GB2312" w:cs="仿宋_GB2312"/>
                <w:kern w:val="0"/>
                <w:sz w:val="21"/>
                <w:szCs w:val="21"/>
                <w:lang w:val="en-US" w:eastAsia="zh-CN"/>
              </w:rPr>
            </w:pPr>
            <w:r>
              <w:rPr>
                <w:rFonts w:hint="eastAsia" w:ascii="Times New Roman" w:hAnsi="Times New Roman" w:cs="仿宋_GB2312"/>
                <w:kern w:val="0"/>
                <w:sz w:val="21"/>
                <w:szCs w:val="21"/>
                <w:lang w:val="en-US" w:eastAsia="zh-CN"/>
              </w:rPr>
              <w:t>6</w:t>
            </w:r>
          </w:p>
        </w:tc>
        <w:tc>
          <w:tcPr>
            <w:tcW w:w="1370"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“三重一大”决策制度执行不到位</w:t>
            </w:r>
          </w:p>
        </w:tc>
        <w:tc>
          <w:tcPr>
            <w:tcW w:w="3389"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“三重一大”会议内容多为资金使用、项目审核，巡察整改、党建部署等重大事项未纳入“三重一大”会议议题。</w:t>
            </w:r>
          </w:p>
        </w:tc>
        <w:tc>
          <w:tcPr>
            <w:tcW w:w="1281" w:type="dxa"/>
            <w:vAlign w:val="center"/>
          </w:tcPr>
          <w:p>
            <w:pPr>
              <w:widowControl/>
              <w:spacing w:line="240" w:lineRule="exact"/>
              <w:jc w:val="center"/>
              <w:rPr>
                <w:rFonts w:hint="eastAsia" w:cs="仿宋_GB2312"/>
                <w:kern w:val="0"/>
                <w:sz w:val="21"/>
                <w:szCs w:val="21"/>
                <w:lang w:val="en-US" w:eastAsia="zh-CN"/>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1）组织村“两委”班子成员集体学习镇党委制定的村（社区）“三重一大”事项集体决策制度实施细则，明确涉及“三重一大”事项，明确除遇重大突发事件和紧急情况外，应由领导班子以会议形式集体讨论决定，不得以其他任何方式代替集体决策，每位班子成员应围绕议题认真开展调查研究，进行个别酝酿，听取意见建议；（2）加强对“三重一大”事项决策、执行情况的监督检查，提高监督的针对性有效性，确保“三重一大”决策制度真正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Align w:val="center"/>
          </w:tcPr>
          <w:p>
            <w:pPr>
              <w:widowControl/>
              <w:spacing w:line="240" w:lineRule="exact"/>
              <w:jc w:val="center"/>
              <w:rPr>
                <w:rFonts w:hint="eastAsia" w:ascii="Times New Roman" w:hAnsi="Times New Roman" w:eastAsia="仿宋_GB2312" w:cs="仿宋_GB2312"/>
                <w:kern w:val="0"/>
                <w:sz w:val="21"/>
                <w:szCs w:val="21"/>
                <w:lang w:val="en-US" w:eastAsia="zh-CN"/>
              </w:rPr>
            </w:pPr>
            <w:r>
              <w:rPr>
                <w:rFonts w:hint="eastAsia" w:ascii="Times New Roman" w:hAnsi="Times New Roman" w:cs="仿宋_GB2312"/>
                <w:kern w:val="0"/>
                <w:sz w:val="21"/>
                <w:szCs w:val="21"/>
                <w:lang w:val="en-US" w:eastAsia="zh-CN"/>
              </w:rPr>
              <w:t>7</w:t>
            </w:r>
          </w:p>
        </w:tc>
        <w:tc>
          <w:tcPr>
            <w:tcW w:w="1370"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基础党务工作薄弱</w:t>
            </w:r>
          </w:p>
        </w:tc>
        <w:tc>
          <w:tcPr>
            <w:tcW w:w="3389" w:type="dxa"/>
            <w:vAlign w:val="center"/>
          </w:tcPr>
          <w:p>
            <w:pPr>
              <w:widowControl/>
              <w:spacing w:line="240" w:lineRule="exact"/>
              <w:jc w:val="left"/>
              <w:rPr>
                <w:rFonts w:hint="eastAsia" w:ascii="Times New Roman" w:hAnsi="Times New Roman" w:cs="仿宋_GB2312"/>
                <w:kern w:val="0"/>
                <w:sz w:val="21"/>
                <w:szCs w:val="21"/>
              </w:rPr>
            </w:pPr>
            <w:r>
              <w:rPr>
                <w:rFonts w:hint="eastAsia" w:ascii="Times New Roman" w:hAnsi="Times New Roman" w:cs="仿宋_GB2312"/>
                <w:kern w:val="0"/>
                <w:sz w:val="21"/>
                <w:szCs w:val="21"/>
              </w:rPr>
              <w:t>组织生活开展不规范，近3年组织生活会记录内容雷同，支委会记录过于简单，主题党日活动开展不规范不到位；党员发展材料填写不规范，材料审核不严格，党务村务职责不清，支委会参加人员包括全体两委班子。</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1）严格执行组织生活会制度，按要求每年召开两次组织生活会，做到每次开会时间明确，内容符合要求，台账记录规范，努力提高生活会质量；（2）丰富主题党日活动学习形式，针对党支部成员特点，进行针对性、多层次的党日活动；加强与其他党支部的联合共建，互通学习资源，加强学习效果；（3）规范党员发展程序，严格材料审核；（4）业务党务并重，把业务工作与党建工作有机结合，抓紧思想政治工作，加强谈心谈话，特别是结合党员工作与岗位特点，采用生动活泼、富有成效的办法，有针对性地开展思想政治工作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Align w:val="center"/>
          </w:tcPr>
          <w:p>
            <w:pPr>
              <w:widowControl/>
              <w:spacing w:line="240" w:lineRule="exact"/>
              <w:jc w:val="center"/>
              <w:rPr>
                <w:rFonts w:hint="eastAsia" w:ascii="Times New Roman" w:hAnsi="Times New Roman" w:eastAsia="仿宋_GB2312" w:cs="仿宋_GB2312"/>
                <w:kern w:val="0"/>
                <w:sz w:val="21"/>
                <w:szCs w:val="21"/>
                <w:lang w:val="en-US" w:eastAsia="zh-CN"/>
              </w:rPr>
            </w:pPr>
            <w:r>
              <w:rPr>
                <w:rFonts w:hint="eastAsia" w:ascii="Times New Roman" w:hAnsi="Times New Roman" w:cs="仿宋_GB2312"/>
                <w:kern w:val="0"/>
                <w:sz w:val="21"/>
                <w:szCs w:val="21"/>
                <w:lang w:val="en-US" w:eastAsia="zh-CN"/>
              </w:rPr>
              <w:t>8</w:t>
            </w:r>
          </w:p>
        </w:tc>
        <w:tc>
          <w:tcPr>
            <w:tcW w:w="1370"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村务监督流于形式</w:t>
            </w:r>
          </w:p>
        </w:tc>
        <w:tc>
          <w:tcPr>
            <w:tcW w:w="3389" w:type="dxa"/>
            <w:vAlign w:val="center"/>
          </w:tcPr>
          <w:p>
            <w:pPr>
              <w:widowControl/>
              <w:spacing w:line="240" w:lineRule="exact"/>
              <w:jc w:val="left"/>
              <w:rPr>
                <w:rFonts w:hint="eastAsia" w:ascii="Times New Roman" w:hAnsi="Times New Roman" w:cs="仿宋_GB2312"/>
                <w:kern w:val="0"/>
                <w:sz w:val="21"/>
                <w:szCs w:val="21"/>
              </w:rPr>
            </w:pPr>
            <w:r>
              <w:rPr>
                <w:rFonts w:hint="eastAsia" w:ascii="Times New Roman" w:hAnsi="Times New Roman" w:cs="仿宋_GB2312"/>
                <w:kern w:val="0"/>
                <w:sz w:val="21"/>
                <w:szCs w:val="21"/>
              </w:rPr>
              <w:t>村务监督委员会监督不力，2018年缺失三个季度的监督情况。多次监督讨论不深入不具体，对工程建设等方面监督作用发挥不明显。</w:t>
            </w:r>
          </w:p>
        </w:tc>
        <w:tc>
          <w:tcPr>
            <w:tcW w:w="128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3982" w:type="dxa"/>
            <w:vAlign w:val="center"/>
          </w:tcPr>
          <w:p>
            <w:pPr>
              <w:widowControl/>
              <w:spacing w:line="240" w:lineRule="exact"/>
              <w:jc w:val="left"/>
              <w:rPr>
                <w:rFonts w:hint="eastAsia" w:cs="仿宋_GB2312"/>
                <w:kern w:val="0"/>
                <w:sz w:val="21"/>
                <w:szCs w:val="21"/>
              </w:rPr>
            </w:pPr>
            <w:r>
              <w:rPr>
                <w:rFonts w:hint="eastAsia" w:cs="仿宋_GB2312"/>
                <w:kern w:val="0"/>
                <w:sz w:val="21"/>
                <w:szCs w:val="21"/>
              </w:rPr>
              <w:t>（1）结合村务实际，加强教育培训，规范和明确村务监督委员会工作职责、权利义务、议事规则、监督内容和监督程序，解决“不会监督”的问题；（2）明确村务监督委员会工作定位，对村各项收支、集体土地征用征收、工程招投标等村务公开内容和村民代表会议决定执行情况等进行监督；（3）通过制作宣传栏、张贴海报等，多方式、多渠道对村监委会的职责和作用进行广泛宣传，营造良好的监督环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jhiZTYxNjFiMDYzMDI1NDFlNmFmNmY0NGYyODEifQ=="/>
  </w:docVars>
  <w:rsids>
    <w:rsidRoot w:val="00E74A81"/>
    <w:rsid w:val="00721B44"/>
    <w:rsid w:val="00E74A81"/>
    <w:rsid w:val="4BC51168"/>
    <w:rsid w:val="4E4905BB"/>
    <w:rsid w:val="7646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9"/>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2043</Words>
  <Characters>2054</Characters>
  <Lines>1</Lines>
  <Paragraphs>1</Paragraphs>
  <TotalTime>1</TotalTime>
  <ScaleCrop>false</ScaleCrop>
  <LinksUpToDate>false</LinksUpToDate>
  <CharactersWithSpaces>2054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2022-05-13T02:43:00Z</dcterms:created>
  <dc:creator>Windows 用户</dc:creator>
  <cp:lastModifiedBy>妖妖铃</cp:lastModifiedBy>
  <cp:lastPrinted>2022-05-14T07:57:00Z</cp:lastPrinted>
  <dcterms:modified xsi:type="dcterms:W3CDTF">2022-05-16T01:11:55Z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FC4F4B4EDE0044E9B24547C8E0E6D122</vt:lpwstr>
  </property>
</Properties>
</file>