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81" w:rsidRDefault="00E74A81" w:rsidP="00E74A81">
      <w:pPr>
        <w:widowControl/>
        <w:tabs>
          <w:tab w:val="left" w:pos="4480"/>
        </w:tabs>
        <w:spacing w:line="640" w:lineRule="exact"/>
        <w:jc w:val="left"/>
        <w:rPr>
          <w:rFonts w:eastAsia="黑体" w:cs="方正小标宋简体"/>
          <w:szCs w:val="32"/>
        </w:rPr>
      </w:pPr>
      <w:r>
        <w:rPr>
          <w:rFonts w:eastAsia="黑体" w:cs="方正小标宋简体" w:hint="eastAsia"/>
          <w:szCs w:val="32"/>
        </w:rPr>
        <w:t>附件</w:t>
      </w:r>
      <w:r>
        <w:rPr>
          <w:rFonts w:eastAsia="黑体" w:cs="方正小标宋简体" w:hint="eastAsia"/>
          <w:szCs w:val="32"/>
        </w:rPr>
        <w:t>1</w:t>
      </w:r>
    </w:p>
    <w:p w:rsidR="000C55D9" w:rsidRDefault="000C55D9" w:rsidP="000C55D9">
      <w:pPr>
        <w:widowControl/>
        <w:spacing w:line="640" w:lineRule="exact"/>
        <w:jc w:val="center"/>
        <w:rPr>
          <w:rFonts w:eastAsia="方正小标宋简体" w:cs="方正小标宋简体"/>
          <w:color w:val="000000"/>
          <w:spacing w:val="-6"/>
          <w:sz w:val="36"/>
          <w:szCs w:val="36"/>
        </w:rPr>
      </w:pPr>
      <w:proofErr w:type="gramStart"/>
      <w:r>
        <w:rPr>
          <w:rFonts w:eastAsia="方正小标宋简体" w:cs="方正小标宋简体" w:hint="eastAsia"/>
          <w:color w:val="000000"/>
          <w:sz w:val="36"/>
          <w:szCs w:val="36"/>
        </w:rPr>
        <w:t>郭</w:t>
      </w:r>
      <w:proofErr w:type="gramEnd"/>
      <w:r>
        <w:rPr>
          <w:rFonts w:eastAsia="方正小标宋简体" w:cs="方正小标宋简体" w:hint="eastAsia"/>
          <w:color w:val="000000"/>
          <w:sz w:val="36"/>
          <w:szCs w:val="36"/>
        </w:rPr>
        <w:t>塘桥</w:t>
      </w:r>
      <w:r w:rsidR="00E74A81">
        <w:rPr>
          <w:rFonts w:eastAsia="方正小标宋简体" w:cs="方正小标宋简体" w:hint="eastAsia"/>
          <w:color w:val="000000"/>
          <w:sz w:val="36"/>
          <w:szCs w:val="36"/>
        </w:rPr>
        <w:t>村党组织</w:t>
      </w:r>
      <w:r w:rsidR="00E74A81">
        <w:rPr>
          <w:rFonts w:eastAsia="方正小标宋简体" w:cs="方正小标宋简体" w:hint="eastAsia"/>
          <w:color w:val="000000"/>
          <w:spacing w:val="-6"/>
          <w:sz w:val="36"/>
          <w:szCs w:val="36"/>
        </w:rPr>
        <w:t>落实巡察整改进展清单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24"/>
        <w:gridCol w:w="1559"/>
        <w:gridCol w:w="3544"/>
        <w:gridCol w:w="1701"/>
        <w:gridCol w:w="6804"/>
      </w:tblGrid>
      <w:tr w:rsidR="000C55D9" w:rsidRPr="000C55D9" w:rsidTr="004C7DF0">
        <w:trPr>
          <w:trHeight w:val="37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4C7DF0" w:rsidRDefault="000C55D9" w:rsidP="000C55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C7DF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4C7DF0" w:rsidRDefault="000C55D9" w:rsidP="000C55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C7DF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存在问题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4C7DF0" w:rsidRDefault="000C55D9" w:rsidP="000C55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C7DF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具体表现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4C7DF0" w:rsidRDefault="000C55D9" w:rsidP="000C55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C7DF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整改进度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4C7DF0" w:rsidRDefault="000C55D9" w:rsidP="000C55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4C7DF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整改成效</w:t>
            </w:r>
          </w:p>
        </w:tc>
      </w:tr>
      <w:tr w:rsidR="000C55D9" w:rsidRPr="000C55D9" w:rsidTr="004C7DF0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952CC2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落实巡察</w:t>
            </w:r>
            <w:r w:rsidR="000C55D9"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整改不到位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1.“三重一大”制度仍未执行到位，内容多为资金使用、项目审核，其他重大事项未纳入议题。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已整改完成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通过组织村两委成员集中学习“三重一大”工作制度，做到熟知、牢记、自觉执行；定期检查 “三重一大”制度执行情况，将人事分工调整等重大事项均纳入议题。</w:t>
            </w:r>
          </w:p>
        </w:tc>
      </w:tr>
      <w:tr w:rsidR="000C55D9" w:rsidRPr="000C55D9" w:rsidTr="004C7DF0">
        <w:trPr>
          <w:trHeight w:val="4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C55D9" w:rsidRPr="000C55D9" w:rsidTr="004C7DF0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 “三重一大”专项台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账记录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不规范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已整改完成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落实专人负责“三重一大”台账记录。严格按规范进行“三重一大”台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账记录</w:t>
            </w:r>
            <w:proofErr w:type="gramEnd"/>
          </w:p>
        </w:tc>
      </w:tr>
      <w:tr w:rsidR="000C55D9" w:rsidRPr="000C55D9" w:rsidTr="004C7DF0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C55D9" w:rsidRPr="000C55D9" w:rsidTr="004C7DF0">
        <w:trPr>
          <w:trHeight w:val="6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理论学习不深不透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 照本宣读现象突出，入脑入心、学以致用不够，部分党员干部对“四个意识”“四个自信”“两个维护”等应知应会内容不了解。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已整改完成</w:t>
            </w: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通过加强理论学习，开展19届六中全会精神宣讲、党史知识竞赛等形式加强党员掌握应知应会内容，提高党员理论学习效果。</w:t>
            </w:r>
          </w:p>
        </w:tc>
      </w:tr>
      <w:tr w:rsidR="000C55D9" w:rsidRPr="000C55D9" w:rsidTr="004C7DF0">
        <w:trPr>
          <w:trHeight w:val="75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“263”专项整治长效机制未落实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4.长效管理存在短板，村居环境整治不彻底，秸秆焚烧、“散乱污”现象时有发生。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已整改完成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（1）明确长效管理工作人员分工，管护范围，责任落实到人。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（2）细化奖惩制度，加强农村环境长效管理工作考核。</w:t>
            </w:r>
          </w:p>
        </w:tc>
      </w:tr>
      <w:tr w:rsidR="000C55D9" w:rsidRPr="000C55D9" w:rsidTr="004C7DF0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（3）开展长效管理工作培训，确保每个工作人员明确长效管理工作要求。</w:t>
            </w:r>
          </w:p>
        </w:tc>
      </w:tr>
      <w:tr w:rsidR="000C55D9" w:rsidRPr="000C55D9" w:rsidTr="004C7DF0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 基础设施投入不足，污水管网未全面覆盖，已建成的管网尚有部分未及时投入使用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已整改完成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（1）加大基础设施投入，完成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塘街段老旧污水管道改造升级。</w:t>
            </w:r>
          </w:p>
        </w:tc>
      </w:tr>
      <w:tr w:rsidR="000C55D9" w:rsidRPr="000C55D9" w:rsidTr="004C7DF0">
        <w:trPr>
          <w:trHeight w:val="2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（2）积极配合上级部门污水管网建设；发现泵站运行问题及时与运行管理单位新美水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沟通协调确保管网正常运行。</w:t>
            </w:r>
          </w:p>
        </w:tc>
      </w:tr>
      <w:tr w:rsidR="000C55D9" w:rsidRPr="000C55D9" w:rsidTr="004C7DF0">
        <w:trPr>
          <w:trHeight w:val="5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（3）村委指定冯马飞负责管网巡查管理。</w:t>
            </w:r>
          </w:p>
        </w:tc>
      </w:tr>
      <w:tr w:rsidR="000C55D9" w:rsidRPr="000C55D9" w:rsidTr="004C7DF0">
        <w:trPr>
          <w:trHeight w:val="8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安全发展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理念不牢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 村委对面“厂中厂”集聚25家作坊式小企业，存在安全隐患。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已整改完成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（1）加强对村两委成员有关安全生产政策、知识方面学习培训，牢固树立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安全第一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意识。</w:t>
            </w:r>
          </w:p>
        </w:tc>
      </w:tr>
      <w:tr w:rsidR="000C55D9" w:rsidRPr="000C55D9" w:rsidTr="004C7DF0">
        <w:trPr>
          <w:trHeight w:val="8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（2）完善企业园区巡检制度，定期检查，对发现的安全隐患及时要求企业整改到位，做好台账记录。</w:t>
            </w:r>
          </w:p>
        </w:tc>
      </w:tr>
      <w:tr w:rsidR="000C55D9" w:rsidRPr="000C55D9" w:rsidTr="004C7DF0">
        <w:trPr>
          <w:trHeight w:val="8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（3）进行专项整治，对于存在安全隐患或涉及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散乱污且无法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整改到位的企业，上报街道职能部门，依法取缔。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集体经济发展活力不足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7. 村集体经济收入渠道少、方式单一，特色农业发展成效不显著。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正在推进整改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（1）组织村两委成员学习国家关于乡村振兴方面的政策知识。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2.规范村、组级集体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资产资产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上进交易平台出租，加强村集体资产管理，向管理要效益。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3.集思广益，通过开展如户走访进一步拓宽集体经济收入渠道。</w:t>
            </w:r>
          </w:p>
        </w:tc>
      </w:tr>
      <w:tr w:rsidR="000C55D9" w:rsidRPr="000C55D9" w:rsidTr="004C7DF0">
        <w:trPr>
          <w:trHeight w:val="10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4）大力帮扶蓝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莓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园、木之家庭农场发展休闲经济，引导发展本村糯玉米种植，同时加强与有发展农业意向的个人、社会团体沟通合作，共同发展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塘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桥特色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农业。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高杆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水稻种植项目正在洽谈中。</w:t>
            </w:r>
          </w:p>
        </w:tc>
      </w:tr>
      <w:tr w:rsidR="000C55D9" w:rsidRPr="000C55D9" w:rsidTr="004C7DF0">
        <w:trPr>
          <w:trHeight w:val="8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意识形态工作重视不够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4C7DF0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</w:t>
            </w:r>
            <w:r w:rsidR="000C55D9"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工作方法简单，理论学习不深入。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已整改完成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（1）加强学习，认真贯彻落实党中央和街道党工委关于意识形态领域的决策部署，严守党纪国法，把握正确的政治方向。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（2）开展形式丰富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多样群众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易于接受的活动，对党员群众进行正面舆论宣传引导。</w:t>
            </w:r>
          </w:p>
        </w:tc>
      </w:tr>
      <w:tr w:rsidR="000C55D9" w:rsidRPr="000C55D9" w:rsidTr="004C7DF0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4C7DF0" w:rsidRDefault="000C55D9" w:rsidP="004C7DF0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  <w:szCs w:val="22"/>
              </w:rPr>
            </w:pPr>
            <w:r w:rsidRPr="004C7DF0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  <w:szCs w:val="22"/>
              </w:rPr>
              <w:t>9.</w:t>
            </w:r>
            <w:r w:rsidR="004C7DF0" w:rsidRPr="004C7DF0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  <w:szCs w:val="22"/>
              </w:rPr>
              <w:t>形势</w:t>
            </w:r>
            <w:proofErr w:type="gramStart"/>
            <w:r w:rsidR="004C7DF0" w:rsidRPr="004C7DF0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  <w:szCs w:val="22"/>
              </w:rPr>
              <w:t>分析重</w:t>
            </w:r>
            <w:proofErr w:type="gramEnd"/>
            <w:r w:rsidR="004C7DF0" w:rsidRPr="004C7DF0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2"/>
                <w:szCs w:val="22"/>
              </w:rPr>
              <w:t>形式，查摆问题不具体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正在推进整改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（1）完善村意识形态工作责任制度。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（2）完善入户走访制度，密切联系群众，及时掌握群众思想动态。目前入户走访活动正在进行中。</w:t>
            </w:r>
            <w:bookmarkStart w:id="0" w:name="_GoBack"/>
            <w:bookmarkEnd w:id="0"/>
          </w:p>
        </w:tc>
      </w:tr>
      <w:tr w:rsidR="000C55D9" w:rsidRPr="000C55D9" w:rsidTr="004C7DF0">
        <w:trPr>
          <w:trHeight w:val="8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（3）严格按照《分析研判制度》要求，规范开展形式分析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判。目前已开展了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塘村疫情防控情况分析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判。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党风廉政建设落实不到位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10. 全面从严治党主体责任落实不到位，对党员教育提醒不够，未见相关谈心谈话记录。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已整改完成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（1）制定2022年度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塘桥村全面从严治党主体责任清单，责任落实到个人。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（2）按要求开展谈心谈话，发现苗头性问题及时进行教育提醒，按规范做好谈话记录。</w:t>
            </w:r>
          </w:p>
        </w:tc>
      </w:tr>
      <w:tr w:rsidR="000C55D9" w:rsidRPr="000C55D9" w:rsidTr="004C7DF0">
        <w:trPr>
          <w:trHeight w:val="8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11. 个别村干部因违反中央八项规定精神被新桥街道纪工委诫勉谈话；个别组干部因未收租金失职受到党内警告处分，该笔租金至今未收缴到位。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正在推进整改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（1）多次学习中央八项规定、通报案例，强化廉政教育，加强监督，增强底线意识和为民服务意识。</w:t>
            </w:r>
          </w:p>
        </w:tc>
      </w:tr>
      <w:tr w:rsidR="000C55D9" w:rsidRPr="000C55D9" w:rsidTr="004C7DF0">
        <w:trPr>
          <w:trHeight w:val="10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（2）租金收缴计划已制定，但因疫情原因未能开村代表会议表决。</w:t>
            </w:r>
          </w:p>
        </w:tc>
      </w:tr>
      <w:tr w:rsidR="000C55D9" w:rsidRPr="000C55D9" w:rsidTr="004C7DF0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财务制度执行不严格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12. “新魏花园”往来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款长期挂账未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正在推进整改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（1）村两委成员集中学习农村财务相关知识。</w:t>
            </w:r>
          </w:p>
        </w:tc>
      </w:tr>
      <w:tr w:rsidR="000C55D9" w:rsidRPr="000C55D9" w:rsidTr="004C7DF0">
        <w:trPr>
          <w:trHeight w:val="8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（2）村委与新桥街道相关部门收集整理“新魏花园”往来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款相关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资料，下一步将与魏村街道对接，妥善解决挂账问题。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基础党务工作薄弱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.党支部、党小组活动完全依赖党总支，无独立组织活动记录。被党纪处理人员在当年的组织生活会中既未说明也未自我批评；党支部会议记录不规范；处理党员自动脱党未经支部党员大会讨论表决，且未经上级党组织批准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正在推进整改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（1）进一步提升党支部独立组织活动能力，在党总支指导下按计划开展党支部活动。</w:t>
            </w:r>
          </w:p>
        </w:tc>
      </w:tr>
      <w:tr w:rsidR="000C55D9" w:rsidRPr="000C55D9" w:rsidTr="004C7DF0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（2）按规定开展党员冬训、组织生活会，开展批评与自我批评，并及时做好记录。</w:t>
            </w:r>
          </w:p>
        </w:tc>
      </w:tr>
      <w:tr w:rsidR="000C55D9" w:rsidRPr="000C55D9" w:rsidTr="004C7DF0">
        <w:trPr>
          <w:trHeight w:val="140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5D9" w:rsidRPr="000C55D9" w:rsidRDefault="000C55D9" w:rsidP="000C55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（3）村党总支在街道组织人事</w:t>
            </w:r>
            <w:proofErr w:type="gramStart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办指导</w:t>
            </w:r>
            <w:proofErr w:type="gramEnd"/>
            <w:r w:rsidRPr="000C55D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下，正按要求进一步完备党员脱党手续。</w:t>
            </w:r>
          </w:p>
        </w:tc>
      </w:tr>
    </w:tbl>
    <w:p w:rsidR="000C55D9" w:rsidRPr="000C55D9" w:rsidRDefault="000C55D9" w:rsidP="004C7DF0">
      <w:pPr>
        <w:pStyle w:val="1"/>
        <w:spacing w:line="240" w:lineRule="exact"/>
        <w:jc w:val="left"/>
      </w:pPr>
    </w:p>
    <w:sectPr w:rsidR="000C55D9" w:rsidRPr="000C55D9" w:rsidSect="004C7DF0">
      <w:pgSz w:w="16838" w:h="11906" w:orient="landscape"/>
      <w:pgMar w:top="851" w:right="1440" w:bottom="849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F6" w:rsidRDefault="003B7BF6" w:rsidP="00E74A81">
      <w:r>
        <w:separator/>
      </w:r>
    </w:p>
  </w:endnote>
  <w:endnote w:type="continuationSeparator" w:id="0">
    <w:p w:rsidR="003B7BF6" w:rsidRDefault="003B7BF6" w:rsidP="00E7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F6" w:rsidRDefault="003B7BF6" w:rsidP="00E74A81">
      <w:r>
        <w:separator/>
      </w:r>
    </w:p>
  </w:footnote>
  <w:footnote w:type="continuationSeparator" w:id="0">
    <w:p w:rsidR="003B7BF6" w:rsidRDefault="003B7BF6" w:rsidP="00E7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A81"/>
    <w:rsid w:val="000C55D9"/>
    <w:rsid w:val="003B7BF6"/>
    <w:rsid w:val="004C7DF0"/>
    <w:rsid w:val="00721B44"/>
    <w:rsid w:val="00952CC2"/>
    <w:rsid w:val="00E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74A8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4A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A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4A81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318</Words>
  <Characters>1818</Characters>
  <Application>Microsoft Office Word</Application>
  <DocSecurity>0</DocSecurity>
  <Lines>15</Lines>
  <Paragraphs>4</Paragraphs>
  <ScaleCrop>false</ScaleCrop>
  <Company>Organization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5</cp:revision>
  <dcterms:created xsi:type="dcterms:W3CDTF">2022-05-13T02:43:00Z</dcterms:created>
  <dcterms:modified xsi:type="dcterms:W3CDTF">2022-05-23T08:40:00Z</dcterms:modified>
</cp:coreProperties>
</file>