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480"/>
        </w:tabs>
        <w:spacing w:line="640" w:lineRule="exact"/>
        <w:jc w:val="left"/>
        <w:rPr>
          <w:rFonts w:hint="eastAsia" w:eastAsia="黑体" w:cs="方正小标宋简体"/>
          <w:szCs w:val="32"/>
        </w:rPr>
      </w:pPr>
      <w:r>
        <w:rPr>
          <w:rFonts w:hint="eastAsia" w:eastAsia="黑体" w:cs="方正小标宋简体"/>
          <w:szCs w:val="32"/>
        </w:rPr>
        <w:t>附件1</w:t>
      </w:r>
    </w:p>
    <w:p>
      <w:pPr>
        <w:widowControl/>
        <w:tabs>
          <w:tab w:val="left" w:pos="4480"/>
        </w:tabs>
        <w:spacing w:line="640" w:lineRule="exact"/>
        <w:jc w:val="center"/>
        <w:rPr>
          <w:rFonts w:hint="eastAsia" w:eastAsia="方正小标宋简体" w:cs="方正小标宋简体"/>
          <w:sz w:val="36"/>
          <w:szCs w:val="36"/>
        </w:rPr>
      </w:pPr>
      <w:r>
        <w:rPr>
          <w:rFonts w:hint="eastAsia" w:eastAsia="方正小标宋简体" w:cs="方正小标宋简体"/>
          <w:color w:val="000000"/>
          <w:sz w:val="36"/>
          <w:szCs w:val="36"/>
          <w:lang w:eastAsia="zh-CN"/>
        </w:rPr>
        <w:t>朱家弄</w:t>
      </w:r>
      <w:r>
        <w:rPr>
          <w:rFonts w:hint="eastAsia" w:eastAsia="方正小标宋简体" w:cs="方正小标宋简体"/>
          <w:color w:val="000000"/>
          <w:sz w:val="36"/>
          <w:szCs w:val="36"/>
        </w:rPr>
        <w:t>村党组织</w:t>
      </w:r>
      <w:r>
        <w:rPr>
          <w:rFonts w:hint="eastAsia" w:eastAsia="方正小标宋简体" w:cs="方正小标宋简体"/>
          <w:color w:val="000000"/>
          <w:spacing w:val="-6"/>
          <w:sz w:val="36"/>
          <w:szCs w:val="36"/>
        </w:rPr>
        <w:t>落实巡察整改进展清单</w:t>
      </w:r>
    </w:p>
    <w:tbl>
      <w:tblPr>
        <w:tblStyle w:val="6"/>
        <w:tblW w:w="63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70"/>
        <w:gridCol w:w="3389"/>
        <w:gridCol w:w="1281"/>
        <w:gridCol w:w="3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ign w:val="center"/>
          </w:tcPr>
          <w:p>
            <w:pPr>
              <w:widowControl/>
              <w:jc w:val="center"/>
              <w:rPr>
                <w:rFonts w:eastAsia="黑体" w:cs="宋体"/>
                <w:kern w:val="0"/>
                <w:sz w:val="24"/>
              </w:rPr>
            </w:pPr>
            <w:r>
              <w:rPr>
                <w:rFonts w:hint="eastAsia" w:eastAsia="黑体" w:cs="宋体"/>
                <w:kern w:val="0"/>
                <w:sz w:val="24"/>
              </w:rPr>
              <w:t>序号</w:t>
            </w:r>
          </w:p>
        </w:tc>
        <w:tc>
          <w:tcPr>
            <w:tcW w:w="1370" w:type="dxa"/>
            <w:noWrap/>
            <w:vAlign w:val="center"/>
          </w:tcPr>
          <w:p>
            <w:pPr>
              <w:widowControl/>
              <w:jc w:val="center"/>
              <w:rPr>
                <w:rFonts w:eastAsia="黑体" w:cs="宋体"/>
                <w:kern w:val="0"/>
                <w:sz w:val="24"/>
              </w:rPr>
            </w:pPr>
            <w:r>
              <w:rPr>
                <w:rFonts w:hint="eastAsia" w:eastAsia="黑体" w:cs="宋体"/>
                <w:kern w:val="0"/>
                <w:sz w:val="24"/>
              </w:rPr>
              <w:t>存在问题</w:t>
            </w:r>
          </w:p>
        </w:tc>
        <w:tc>
          <w:tcPr>
            <w:tcW w:w="3389" w:type="dxa"/>
            <w:noWrap/>
            <w:vAlign w:val="center"/>
          </w:tcPr>
          <w:p>
            <w:pPr>
              <w:widowControl/>
              <w:jc w:val="center"/>
              <w:rPr>
                <w:rFonts w:eastAsia="黑体" w:cs="宋体"/>
                <w:kern w:val="0"/>
                <w:sz w:val="24"/>
              </w:rPr>
            </w:pPr>
            <w:r>
              <w:rPr>
                <w:rFonts w:hint="eastAsia" w:eastAsia="黑体" w:cs="宋体"/>
                <w:kern w:val="0"/>
                <w:sz w:val="24"/>
              </w:rPr>
              <w:t>具体表现</w:t>
            </w:r>
          </w:p>
        </w:tc>
        <w:tc>
          <w:tcPr>
            <w:tcW w:w="1281" w:type="dxa"/>
            <w:noWrap/>
            <w:vAlign w:val="center"/>
          </w:tcPr>
          <w:p>
            <w:pPr>
              <w:widowControl/>
              <w:jc w:val="center"/>
              <w:rPr>
                <w:rFonts w:eastAsia="黑体" w:cs="黑体"/>
                <w:sz w:val="24"/>
              </w:rPr>
            </w:pPr>
            <w:r>
              <w:rPr>
                <w:rFonts w:hint="eastAsia" w:eastAsia="黑体" w:cs="黑体"/>
                <w:sz w:val="24"/>
              </w:rPr>
              <w:t>整改进度</w:t>
            </w:r>
          </w:p>
        </w:tc>
        <w:tc>
          <w:tcPr>
            <w:tcW w:w="3982" w:type="dxa"/>
            <w:noWrap/>
            <w:vAlign w:val="center"/>
          </w:tcPr>
          <w:p>
            <w:pPr>
              <w:widowControl/>
              <w:jc w:val="center"/>
              <w:rPr>
                <w:rFonts w:eastAsia="黑体" w:cs="黑体"/>
                <w:sz w:val="24"/>
              </w:rPr>
            </w:pPr>
            <w:r>
              <w:rPr>
                <w:rFonts w:hint="eastAsia" w:eastAsia="黑体" w:cs="黑体"/>
                <w:sz w:val="24"/>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50" w:type="dxa"/>
            <w:vMerge w:val="restart"/>
            <w:noWrap/>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370" w:type="dxa"/>
            <w:vMerge w:val="restart"/>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sz w:val="21"/>
                <w:szCs w:val="21"/>
              </w:rPr>
              <w:t>落实巡察整改不</w:t>
            </w:r>
            <w:r>
              <w:rPr>
                <w:rFonts w:hint="eastAsia" w:ascii="仿宋" w:hAnsi="仿宋" w:eastAsia="仿宋" w:cs="仿宋"/>
                <w:sz w:val="21"/>
                <w:szCs w:val="21"/>
                <w:lang w:eastAsia="zh-CN"/>
              </w:rPr>
              <w:t>到</w:t>
            </w:r>
            <w:r>
              <w:rPr>
                <w:rFonts w:hint="eastAsia" w:ascii="仿宋" w:hAnsi="仿宋" w:eastAsia="仿宋" w:cs="仿宋"/>
                <w:sz w:val="21"/>
                <w:szCs w:val="21"/>
              </w:rPr>
              <w:t>位</w:t>
            </w:r>
            <w:r>
              <w:rPr>
                <w:rFonts w:hint="eastAsia" w:ascii="仿宋" w:hAnsi="仿宋" w:eastAsia="仿宋" w:cs="仿宋"/>
                <w:sz w:val="21"/>
                <w:szCs w:val="21"/>
                <w:lang w:eastAsia="zh-CN"/>
              </w:rPr>
              <w:t>。</w:t>
            </w:r>
          </w:p>
        </w:tc>
        <w:tc>
          <w:tcPr>
            <w:tcW w:w="3389" w:type="dxa"/>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color w:val="000000"/>
                <w:sz w:val="21"/>
                <w:szCs w:val="21"/>
              </w:rPr>
              <w:t>整改责任未压紧压实，仍有部分问题未整改到位。</w:t>
            </w:r>
            <w:r>
              <w:rPr>
                <w:rFonts w:hint="eastAsia" w:ascii="仿宋" w:hAnsi="仿宋" w:eastAsia="仿宋" w:cs="仿宋"/>
                <w:sz w:val="21"/>
                <w:szCs w:val="21"/>
              </w:rPr>
              <w:t>“三重一大”会议内容多为资金使用、项目审核，其他重大事项未纳入“三重一大”会议议题。</w:t>
            </w:r>
          </w:p>
        </w:tc>
        <w:tc>
          <w:tcPr>
            <w:tcW w:w="1281"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已整改完成</w:t>
            </w:r>
          </w:p>
        </w:tc>
        <w:tc>
          <w:tcPr>
            <w:tcW w:w="3982" w:type="dxa"/>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sz w:val="21"/>
                <w:szCs w:val="21"/>
              </w:rPr>
              <w:t>认真组织学习“三重一大”事项集体决策制度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做到“三重一大”内容必须上会且做好台账记录，决策过程做到清晰完整有痕迹。</w:t>
            </w:r>
          </w:p>
          <w:p>
            <w:pPr>
              <w:widowControl/>
              <w:spacing w:line="240" w:lineRule="exact"/>
              <w:jc w:val="left"/>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50" w:type="dxa"/>
            <w:vMerge w:val="continue"/>
            <w:vAlign w:val="center"/>
          </w:tcPr>
          <w:p>
            <w:pPr>
              <w:widowControl/>
              <w:spacing w:line="240" w:lineRule="exact"/>
              <w:jc w:val="center"/>
              <w:rPr>
                <w:rFonts w:hint="eastAsia" w:ascii="仿宋" w:hAnsi="仿宋" w:eastAsia="仿宋" w:cs="仿宋"/>
                <w:kern w:val="0"/>
                <w:sz w:val="21"/>
                <w:szCs w:val="21"/>
              </w:rPr>
            </w:pPr>
          </w:p>
        </w:tc>
        <w:tc>
          <w:tcPr>
            <w:tcW w:w="1370" w:type="dxa"/>
            <w:vMerge w:val="continue"/>
            <w:vAlign w:val="center"/>
          </w:tcPr>
          <w:p>
            <w:pPr>
              <w:widowControl/>
              <w:spacing w:line="240" w:lineRule="exact"/>
              <w:jc w:val="left"/>
              <w:rPr>
                <w:rFonts w:hint="eastAsia" w:ascii="仿宋" w:hAnsi="仿宋" w:eastAsia="仿宋" w:cs="仿宋"/>
                <w:kern w:val="0"/>
                <w:sz w:val="21"/>
                <w:szCs w:val="21"/>
              </w:rPr>
            </w:pPr>
          </w:p>
        </w:tc>
        <w:tc>
          <w:tcPr>
            <w:tcW w:w="338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napToGrid w:val="0"/>
                <w:color w:val="000000"/>
                <w:kern w:val="0"/>
                <w:sz w:val="21"/>
                <w:szCs w:val="21"/>
                <w:lang w:eastAsia="zh-CN"/>
              </w:rPr>
            </w:pPr>
            <w:r>
              <w:rPr>
                <w:rFonts w:hint="eastAsia" w:ascii="仿宋" w:hAnsi="仿宋" w:eastAsia="仿宋" w:cs="仿宋"/>
                <w:kern w:val="0"/>
                <w:sz w:val="21"/>
                <w:szCs w:val="21"/>
              </w:rPr>
              <w:t>（2）</w:t>
            </w:r>
            <w:r>
              <w:rPr>
                <w:rFonts w:hint="eastAsia" w:ascii="仿宋" w:hAnsi="仿宋" w:eastAsia="仿宋" w:cs="仿宋"/>
                <w:sz w:val="21"/>
                <w:szCs w:val="21"/>
              </w:rPr>
              <w:t>“一把手”未严格遵守末位表态制度。</w:t>
            </w:r>
          </w:p>
          <w:p>
            <w:pPr>
              <w:widowControl/>
              <w:spacing w:line="240" w:lineRule="exact"/>
              <w:jc w:val="left"/>
              <w:rPr>
                <w:rFonts w:hint="eastAsia" w:ascii="仿宋" w:hAnsi="仿宋" w:eastAsia="仿宋" w:cs="仿宋"/>
                <w:kern w:val="0"/>
                <w:sz w:val="21"/>
                <w:szCs w:val="21"/>
              </w:rPr>
            </w:pPr>
          </w:p>
        </w:tc>
        <w:tc>
          <w:tcPr>
            <w:tcW w:w="1281"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已整改完成</w:t>
            </w:r>
          </w:p>
        </w:tc>
        <w:tc>
          <w:tcPr>
            <w:tcW w:w="3982" w:type="dxa"/>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sz w:val="21"/>
                <w:szCs w:val="21"/>
              </w:rPr>
              <w:t>严格遵守“一把手”末位表态制度。</w:t>
            </w:r>
            <w:r>
              <w:rPr>
                <w:rFonts w:hint="eastAsia" w:ascii="仿宋" w:hAnsi="仿宋" w:eastAsia="仿宋" w:cs="仿宋"/>
                <w:sz w:val="21"/>
                <w:szCs w:val="21"/>
                <w:lang w:eastAsia="zh-CN"/>
              </w:rPr>
              <w:t>召开“三重一大”会议时，</w:t>
            </w:r>
            <w:r>
              <w:rPr>
                <w:rFonts w:hint="eastAsia" w:ascii="仿宋" w:hAnsi="仿宋" w:eastAsia="仿宋" w:cs="仿宋"/>
                <w:i w:val="0"/>
                <w:caps w:val="0"/>
                <w:color w:val="auto"/>
                <w:spacing w:val="0"/>
                <w:sz w:val="21"/>
                <w:szCs w:val="21"/>
                <w:shd w:val="clear" w:color="auto" w:fill="FFFFFF"/>
              </w:rPr>
              <w:t>班子其他成员先表态发言，经集体讨论，“一把手”在议事决策中最后一个表态发言。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50" w:type="dxa"/>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370" w:type="dxa"/>
            <w:vMerge w:val="restart"/>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sz w:val="21"/>
                <w:szCs w:val="21"/>
              </w:rPr>
              <w:t>“263”专项整治长效机制未落实</w:t>
            </w:r>
            <w:r>
              <w:rPr>
                <w:rFonts w:hint="eastAsia" w:ascii="仿宋" w:hAnsi="仿宋" w:eastAsia="仿宋" w:cs="仿宋"/>
                <w:sz w:val="21"/>
                <w:szCs w:val="21"/>
                <w:lang w:eastAsia="zh-CN"/>
              </w:rPr>
              <w:t>。</w:t>
            </w:r>
          </w:p>
        </w:tc>
        <w:tc>
          <w:tcPr>
            <w:tcW w:w="3389" w:type="dxa"/>
            <w:vAlign w:val="center"/>
          </w:tcPr>
          <w:p>
            <w:pPr>
              <w:widowControl/>
              <w:spacing w:line="24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w:t>
            </w:r>
            <w:r>
              <w:rPr>
                <w:rFonts w:hint="eastAsia" w:ascii="仿宋" w:hAnsi="仿宋" w:eastAsia="仿宋" w:cs="仿宋"/>
                <w:sz w:val="21"/>
                <w:szCs w:val="21"/>
              </w:rPr>
              <w:t>“散乱污”整治不彻底，已拆未用区域内流动废品收购站时常出现。</w:t>
            </w:r>
          </w:p>
        </w:tc>
        <w:tc>
          <w:tcPr>
            <w:tcW w:w="1281"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已整改完成</w:t>
            </w:r>
          </w:p>
        </w:tc>
        <w:tc>
          <w:tcPr>
            <w:tcW w:w="3982" w:type="dxa"/>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sz w:val="21"/>
                <w:szCs w:val="21"/>
              </w:rPr>
              <w:t>加强流动废品收购站管理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网格员加强巡查，</w:t>
            </w:r>
            <w:r>
              <w:rPr>
                <w:rFonts w:hint="eastAsia" w:ascii="仿宋" w:hAnsi="仿宋" w:eastAsia="仿宋" w:cs="仿宋"/>
                <w:sz w:val="21"/>
                <w:szCs w:val="21"/>
              </w:rPr>
              <w:t>摸清底数，制定详细计划，与街道综合执法局长效办联动整治流动废品收购站</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50" w:type="dxa"/>
            <w:vMerge w:val="continue"/>
            <w:tcBorders/>
            <w:vAlign w:val="center"/>
          </w:tcPr>
          <w:p>
            <w:pPr>
              <w:widowControl/>
              <w:spacing w:line="240" w:lineRule="exact"/>
              <w:jc w:val="center"/>
              <w:rPr>
                <w:rFonts w:hint="eastAsia" w:ascii="仿宋" w:hAnsi="仿宋" w:eastAsia="仿宋" w:cs="仿宋"/>
                <w:kern w:val="0"/>
                <w:sz w:val="21"/>
                <w:szCs w:val="21"/>
              </w:rPr>
            </w:pPr>
          </w:p>
        </w:tc>
        <w:tc>
          <w:tcPr>
            <w:tcW w:w="1370" w:type="dxa"/>
            <w:vMerge w:val="continue"/>
            <w:tcBorders/>
            <w:vAlign w:val="center"/>
          </w:tcPr>
          <w:p>
            <w:pPr>
              <w:widowControl/>
              <w:spacing w:line="240" w:lineRule="exact"/>
              <w:jc w:val="left"/>
              <w:rPr>
                <w:rFonts w:hint="eastAsia" w:ascii="仿宋" w:hAnsi="仿宋" w:eastAsia="仿宋" w:cs="仿宋"/>
                <w:kern w:val="0"/>
                <w:sz w:val="21"/>
                <w:szCs w:val="21"/>
              </w:rPr>
            </w:pPr>
          </w:p>
        </w:tc>
        <w:tc>
          <w:tcPr>
            <w:tcW w:w="3389" w:type="dxa"/>
            <w:vAlign w:val="center"/>
          </w:tcPr>
          <w:p>
            <w:pPr>
              <w:widowControl/>
              <w:spacing w:line="24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lang w:eastAsia="zh-CN"/>
              </w:rPr>
              <w:t>）</w:t>
            </w:r>
            <w:r>
              <w:rPr>
                <w:rFonts w:hint="eastAsia" w:ascii="仿宋" w:hAnsi="仿宋" w:eastAsia="仿宋" w:cs="仿宋"/>
                <w:sz w:val="21"/>
                <w:szCs w:val="21"/>
              </w:rPr>
              <w:t>楼只村危房，漏水、渗水严重，存在严重安全隐患。</w:t>
            </w:r>
          </w:p>
        </w:tc>
        <w:tc>
          <w:tcPr>
            <w:tcW w:w="1281"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已整改完成</w:t>
            </w:r>
          </w:p>
        </w:tc>
        <w:tc>
          <w:tcPr>
            <w:tcW w:w="3982" w:type="dxa"/>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sz w:val="21"/>
                <w:szCs w:val="21"/>
                <w:lang w:val="en-US" w:eastAsia="zh-CN"/>
              </w:rPr>
              <w:t>加强农村危房管理。网格员入户摸排房屋情况，发现危房及时向上级反映，并在恶劣天气做好安全提醒和转移。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50" w:type="dxa"/>
            <w:vMerge w:val="continue"/>
            <w:tcBorders/>
            <w:vAlign w:val="center"/>
          </w:tcPr>
          <w:p>
            <w:pPr>
              <w:widowControl/>
              <w:spacing w:line="240" w:lineRule="exact"/>
              <w:jc w:val="center"/>
              <w:rPr>
                <w:rFonts w:hint="eastAsia" w:ascii="仿宋" w:hAnsi="仿宋" w:eastAsia="仿宋" w:cs="仿宋"/>
                <w:kern w:val="0"/>
                <w:sz w:val="21"/>
                <w:szCs w:val="21"/>
              </w:rPr>
            </w:pPr>
          </w:p>
        </w:tc>
        <w:tc>
          <w:tcPr>
            <w:tcW w:w="1370" w:type="dxa"/>
            <w:vMerge w:val="continue"/>
            <w:tcBorders/>
            <w:vAlign w:val="center"/>
          </w:tcPr>
          <w:p>
            <w:pPr>
              <w:widowControl/>
              <w:spacing w:line="240" w:lineRule="exact"/>
              <w:jc w:val="left"/>
              <w:rPr>
                <w:rFonts w:hint="eastAsia" w:ascii="仿宋" w:hAnsi="仿宋" w:eastAsia="仿宋" w:cs="仿宋"/>
                <w:kern w:val="0"/>
                <w:sz w:val="21"/>
                <w:szCs w:val="21"/>
              </w:rPr>
            </w:pPr>
          </w:p>
        </w:tc>
        <w:tc>
          <w:tcPr>
            <w:tcW w:w="3389" w:type="dxa"/>
            <w:vAlign w:val="center"/>
          </w:tcPr>
          <w:p>
            <w:pPr>
              <w:widowControl/>
              <w:spacing w:line="24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lang w:eastAsia="zh-CN"/>
              </w:rPr>
              <w:t>）</w:t>
            </w:r>
            <w:r>
              <w:rPr>
                <w:rFonts w:hint="eastAsia" w:ascii="仿宋" w:hAnsi="仿宋" w:eastAsia="仿宋" w:cs="仿宋"/>
                <w:sz w:val="21"/>
                <w:szCs w:val="21"/>
              </w:rPr>
              <w:t>大气污染防治存在短板，秸秆禁烧期间仍然存在农户偷烧秸秆的现象。</w:t>
            </w:r>
          </w:p>
        </w:tc>
        <w:tc>
          <w:tcPr>
            <w:tcW w:w="1281"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已整改完成</w:t>
            </w:r>
          </w:p>
        </w:tc>
        <w:tc>
          <w:tcPr>
            <w:tcW w:w="39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加强秸秆禁烧宣传力度</w:t>
            </w:r>
            <w:r>
              <w:rPr>
                <w:rFonts w:hint="eastAsia" w:ascii="仿宋" w:hAnsi="仿宋" w:eastAsia="仿宋" w:cs="仿宋"/>
                <w:sz w:val="21"/>
                <w:szCs w:val="21"/>
                <w:lang w:eastAsia="zh-CN"/>
              </w:rPr>
              <w:t>。</w:t>
            </w:r>
            <w:r>
              <w:rPr>
                <w:rFonts w:hint="eastAsia" w:ascii="仿宋" w:hAnsi="仿宋" w:eastAsia="仿宋" w:cs="仿宋"/>
                <w:sz w:val="21"/>
                <w:szCs w:val="21"/>
              </w:rPr>
              <w:t>在秸秆焚烧易发地点设立警示牌</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悬挂横幅</w:t>
            </w:r>
            <w:r>
              <w:rPr>
                <w:rFonts w:hint="eastAsia" w:ascii="仿宋" w:hAnsi="仿宋" w:eastAsia="仿宋" w:cs="仿宋"/>
                <w:sz w:val="21"/>
                <w:szCs w:val="21"/>
              </w:rPr>
              <w:t>，强化网格员属地管理，入户再宣传，加大巡查力度</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重点时间节点24小时巡查</w:t>
            </w: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50" w:type="dxa"/>
            <w:tcBorders/>
            <w:vAlign w:val="center"/>
          </w:tcPr>
          <w:p>
            <w:pPr>
              <w:widowControl/>
              <w:spacing w:line="24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1370" w:type="dxa"/>
            <w:tcBorders/>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sz w:val="21"/>
                <w:szCs w:val="21"/>
              </w:rPr>
              <w:t>集体经济发展缺乏活力</w:t>
            </w:r>
            <w:r>
              <w:rPr>
                <w:rFonts w:hint="eastAsia" w:ascii="仿宋" w:hAnsi="仿宋" w:eastAsia="仿宋" w:cs="仿宋"/>
                <w:sz w:val="21"/>
                <w:szCs w:val="21"/>
                <w:lang w:eastAsia="zh-CN"/>
              </w:rPr>
              <w:t>。</w:t>
            </w:r>
          </w:p>
        </w:tc>
        <w:tc>
          <w:tcPr>
            <w:tcW w:w="3389" w:type="dxa"/>
            <w:vAlign w:val="center"/>
          </w:tcPr>
          <w:p>
            <w:pPr>
              <w:widowControl/>
              <w:spacing w:line="240" w:lineRule="exact"/>
              <w:jc w:val="left"/>
              <w:rPr>
                <w:rFonts w:hint="eastAsia" w:ascii="仿宋" w:hAnsi="仿宋" w:eastAsia="仿宋" w:cs="仿宋"/>
                <w:kern w:val="0"/>
                <w:sz w:val="21"/>
                <w:szCs w:val="21"/>
                <w:lang w:eastAsia="zh-CN"/>
              </w:rPr>
            </w:pPr>
            <w:r>
              <w:rPr>
                <w:rFonts w:hint="eastAsia" w:ascii="仿宋" w:hAnsi="仿宋" w:eastAsia="仿宋" w:cs="仿宋"/>
                <w:sz w:val="21"/>
                <w:szCs w:val="21"/>
              </w:rPr>
              <w:t>2018至2020年经营收入分别为14.73万元、10.48万元、6.48万元，呈逐年下降趋势，负债连年上升，绿色农业食品安全基地带动效果不佳，集体经济发展缺乏可持续性。</w:t>
            </w:r>
          </w:p>
        </w:tc>
        <w:tc>
          <w:tcPr>
            <w:tcW w:w="1281"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已整改完成</w:t>
            </w:r>
          </w:p>
        </w:tc>
        <w:tc>
          <w:tcPr>
            <w:tcW w:w="39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（1）提高认识，加强学习。利用多种形式加强学习，提高发展农村集体经济意识，学习先进地区发展农村集体经济的好做法、好经验。</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（2）因地制宜，精准施策。盘活经济，对</w:t>
            </w:r>
            <w:r>
              <w:rPr>
                <w:rFonts w:hint="eastAsia" w:ascii="仿宋" w:hAnsi="仿宋" w:eastAsia="仿宋" w:cs="仿宋"/>
                <w:sz w:val="21"/>
                <w:szCs w:val="21"/>
                <w:lang w:eastAsia="zh-CN"/>
              </w:rPr>
              <w:t>村</w:t>
            </w:r>
            <w:r>
              <w:rPr>
                <w:rFonts w:hint="eastAsia" w:ascii="仿宋" w:hAnsi="仿宋" w:eastAsia="仿宋" w:cs="仿宋"/>
                <w:sz w:val="21"/>
                <w:szCs w:val="21"/>
                <w:lang w:val="en-US" w:eastAsia="zh-CN"/>
              </w:rPr>
              <w:t>集体资产争取多途径的投资，促进</w:t>
            </w:r>
            <w:r>
              <w:rPr>
                <w:rFonts w:hint="eastAsia" w:ascii="仿宋" w:hAnsi="仿宋" w:eastAsia="仿宋" w:cs="仿宋"/>
                <w:sz w:val="21"/>
                <w:szCs w:val="21"/>
              </w:rPr>
              <w:t>绿色农业食品安全基地带动效果</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50" w:type="dxa"/>
            <w:tcBorders/>
            <w:vAlign w:val="center"/>
          </w:tcPr>
          <w:p>
            <w:pPr>
              <w:widowControl/>
              <w:spacing w:line="24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1370" w:type="dxa"/>
            <w:tcBorders/>
            <w:vAlign w:val="center"/>
          </w:tcPr>
          <w:p>
            <w:pPr>
              <w:widowControl/>
              <w:spacing w:line="240" w:lineRule="exact"/>
              <w:jc w:val="left"/>
              <w:rPr>
                <w:rFonts w:hint="eastAsia" w:ascii="仿宋" w:hAnsi="仿宋" w:eastAsia="仿宋" w:cs="仿宋"/>
                <w:kern w:val="0"/>
                <w:sz w:val="21"/>
                <w:szCs w:val="21"/>
                <w:lang w:val="en-US"/>
              </w:rPr>
            </w:pPr>
            <w:r>
              <w:rPr>
                <w:rFonts w:hint="eastAsia" w:ascii="仿宋" w:hAnsi="仿宋" w:eastAsia="仿宋" w:cs="仿宋"/>
                <w:sz w:val="21"/>
                <w:szCs w:val="21"/>
              </w:rPr>
              <w:t>攻坚克难担当意识不强</w:t>
            </w:r>
            <w:r>
              <w:rPr>
                <w:rFonts w:hint="eastAsia" w:ascii="仿宋" w:hAnsi="仿宋" w:eastAsia="仿宋" w:cs="仿宋"/>
                <w:sz w:val="21"/>
                <w:szCs w:val="21"/>
                <w:lang w:eastAsia="zh-CN"/>
              </w:rPr>
              <w:t>。</w:t>
            </w:r>
          </w:p>
        </w:tc>
        <w:tc>
          <w:tcPr>
            <w:tcW w:w="3389" w:type="dxa"/>
            <w:vAlign w:val="center"/>
          </w:tcPr>
          <w:p>
            <w:pPr>
              <w:widowControl/>
              <w:spacing w:line="240" w:lineRule="exact"/>
              <w:jc w:val="left"/>
              <w:rPr>
                <w:rFonts w:hint="eastAsia" w:ascii="仿宋" w:hAnsi="仿宋" w:eastAsia="仿宋" w:cs="仿宋"/>
                <w:kern w:val="0"/>
                <w:sz w:val="21"/>
                <w:szCs w:val="21"/>
                <w:lang w:eastAsia="zh-CN"/>
              </w:rPr>
            </w:pPr>
            <w:r>
              <w:rPr>
                <w:rFonts w:hint="eastAsia" w:ascii="仿宋" w:hAnsi="仿宋" w:eastAsia="仿宋" w:cs="仿宋"/>
                <w:sz w:val="21"/>
                <w:szCs w:val="21"/>
              </w:rPr>
              <w:t>担当作为责任意识不足，解决“遗留户”问题办法不多，目前尚存6户“遗留户”。</w:t>
            </w:r>
          </w:p>
        </w:tc>
        <w:tc>
          <w:tcPr>
            <w:tcW w:w="1281" w:type="dxa"/>
            <w:vAlign w:val="center"/>
          </w:tcPr>
          <w:p>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正在推进整改</w:t>
            </w:r>
          </w:p>
        </w:tc>
        <w:tc>
          <w:tcPr>
            <w:tcW w:w="3982" w:type="dxa"/>
            <w:vAlign w:val="center"/>
          </w:tcPr>
          <w:p>
            <w:pPr>
              <w:widowControl/>
              <w:tabs>
                <w:tab w:val="left" w:pos="663"/>
              </w:tabs>
              <w:spacing w:line="24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村委</w:t>
            </w:r>
            <w:r>
              <w:rPr>
                <w:rFonts w:hint="eastAsia" w:ascii="仿宋" w:hAnsi="仿宋" w:eastAsia="仿宋" w:cs="仿宋"/>
                <w:sz w:val="21"/>
                <w:szCs w:val="21"/>
                <w:lang w:val="en-US" w:eastAsia="zh-CN"/>
              </w:rPr>
              <w:t>提高担当作为</w:t>
            </w:r>
            <w:r>
              <w:rPr>
                <w:rFonts w:hint="eastAsia" w:ascii="仿宋" w:hAnsi="仿宋" w:eastAsia="仿宋" w:cs="仿宋"/>
                <w:sz w:val="21"/>
                <w:szCs w:val="21"/>
                <w:lang w:eastAsia="zh-CN"/>
              </w:rPr>
              <w:t>责任</w:t>
            </w:r>
            <w:r>
              <w:rPr>
                <w:rFonts w:hint="eastAsia" w:ascii="仿宋" w:hAnsi="仿宋" w:eastAsia="仿宋" w:cs="仿宋"/>
                <w:sz w:val="21"/>
                <w:szCs w:val="21"/>
                <w:lang w:val="en-US" w:eastAsia="zh-CN"/>
              </w:rPr>
              <w:t>意识，拓宽思路和方法，配合</w:t>
            </w:r>
            <w:r>
              <w:rPr>
                <w:rFonts w:hint="eastAsia" w:ascii="仿宋" w:hAnsi="仿宋" w:eastAsia="仿宋" w:cs="仿宋"/>
                <w:sz w:val="21"/>
                <w:szCs w:val="21"/>
                <w:lang w:eastAsia="zh-CN"/>
              </w:rPr>
              <w:t>街道多部门共同协调攻坚，</w:t>
            </w:r>
            <w:r>
              <w:rPr>
                <w:rFonts w:hint="eastAsia" w:ascii="仿宋" w:hAnsi="仿宋" w:eastAsia="仿宋" w:cs="仿宋"/>
                <w:sz w:val="21"/>
                <w:szCs w:val="21"/>
                <w:lang w:val="en-US" w:eastAsia="zh-CN"/>
              </w:rPr>
              <w:t>继续做好外围摸排工作。</w:t>
            </w:r>
            <w:r>
              <w:rPr>
                <w:rFonts w:hint="eastAsia" w:ascii="仿宋" w:hAnsi="仿宋" w:eastAsia="仿宋" w:cs="仿宋"/>
                <w:kern w:val="0"/>
                <w:sz w:val="21"/>
                <w:szCs w:val="21"/>
                <w:lang w:eastAsia="zh-CN"/>
              </w:rPr>
              <w:t>已解决</w:t>
            </w:r>
            <w:r>
              <w:rPr>
                <w:rFonts w:hint="eastAsia" w:ascii="仿宋" w:hAnsi="仿宋" w:eastAsia="仿宋" w:cs="仿宋"/>
                <w:kern w:val="0"/>
                <w:sz w:val="21"/>
                <w:szCs w:val="21"/>
                <w:lang w:val="en-US" w:eastAsia="zh-CN"/>
              </w:rPr>
              <w:t>1户，剩余5户。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50" w:type="dxa"/>
            <w:tcBorders/>
            <w:vAlign w:val="center"/>
          </w:tcPr>
          <w:p>
            <w:pPr>
              <w:widowControl/>
              <w:spacing w:line="24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1370" w:type="dxa"/>
            <w:tcBorders/>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sz w:val="21"/>
                <w:szCs w:val="21"/>
              </w:rPr>
              <w:t>意识形态工作重视不够</w:t>
            </w:r>
            <w:r>
              <w:rPr>
                <w:rFonts w:hint="eastAsia" w:ascii="仿宋" w:hAnsi="仿宋" w:eastAsia="仿宋" w:cs="仿宋"/>
                <w:sz w:val="21"/>
                <w:szCs w:val="21"/>
                <w:lang w:eastAsia="zh-CN"/>
              </w:rPr>
              <w:t>。</w:t>
            </w:r>
          </w:p>
        </w:tc>
        <w:tc>
          <w:tcPr>
            <w:tcW w:w="3389" w:type="dxa"/>
            <w:vAlign w:val="center"/>
          </w:tcPr>
          <w:p>
            <w:pPr>
              <w:widowControl/>
              <w:tabs>
                <w:tab w:val="left" w:pos="2213"/>
              </w:tabs>
              <w:spacing w:line="240" w:lineRule="exact"/>
              <w:jc w:val="left"/>
              <w:rPr>
                <w:rFonts w:hint="eastAsia" w:ascii="仿宋" w:hAnsi="仿宋" w:eastAsia="仿宋" w:cs="仿宋"/>
                <w:kern w:val="0"/>
                <w:sz w:val="21"/>
                <w:szCs w:val="21"/>
                <w:lang w:eastAsia="zh-CN"/>
              </w:rPr>
            </w:pPr>
            <w:r>
              <w:rPr>
                <w:rFonts w:hint="eastAsia" w:ascii="仿宋" w:hAnsi="仿宋" w:eastAsia="仿宋" w:cs="仿宋"/>
                <w:sz w:val="21"/>
                <w:szCs w:val="21"/>
              </w:rPr>
              <w:t>工作方</w:t>
            </w:r>
            <w:bookmarkStart w:id="0" w:name="_GoBack"/>
            <w:bookmarkEnd w:id="0"/>
            <w:r>
              <w:rPr>
                <w:rFonts w:hint="eastAsia" w:ascii="仿宋" w:hAnsi="仿宋" w:eastAsia="仿宋" w:cs="仿宋"/>
                <w:sz w:val="21"/>
                <w:szCs w:val="21"/>
              </w:rPr>
              <w:t>法简单，理论学习不深入，形势分析重形式，查摆问题不具体。</w:t>
            </w:r>
          </w:p>
        </w:tc>
        <w:tc>
          <w:tcPr>
            <w:tcW w:w="1281"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已整改完成</w:t>
            </w:r>
          </w:p>
        </w:tc>
        <w:tc>
          <w:tcPr>
            <w:tcW w:w="39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rPr>
              <w:t>严格落实意识形态责任制</w:t>
            </w:r>
            <w:r>
              <w:rPr>
                <w:rFonts w:hint="eastAsia" w:ascii="仿宋" w:hAnsi="仿宋" w:eastAsia="仿宋" w:cs="仿宋"/>
                <w:sz w:val="21"/>
                <w:szCs w:val="21"/>
                <w:lang w:eastAsia="zh-CN"/>
              </w:rPr>
              <w:t>。</w:t>
            </w:r>
            <w:r>
              <w:rPr>
                <w:rFonts w:hint="eastAsia" w:ascii="仿宋" w:hAnsi="仿宋" w:eastAsia="仿宋" w:cs="仿宋"/>
                <w:sz w:val="21"/>
                <w:szCs w:val="21"/>
              </w:rPr>
              <w:t>党总支书记作为意识形态第一责任人，坚持定期研究意识形态工作，每半年</w:t>
            </w:r>
            <w:r>
              <w:rPr>
                <w:rFonts w:hint="eastAsia" w:ascii="仿宋" w:hAnsi="仿宋" w:eastAsia="仿宋" w:cs="仿宋"/>
                <w:kern w:val="0"/>
                <w:sz w:val="21"/>
                <w:szCs w:val="21"/>
              </w:rPr>
              <w:t>召开1次会议专题研究意识形态工作</w:t>
            </w:r>
            <w:r>
              <w:rPr>
                <w:rFonts w:hint="eastAsia" w:ascii="仿宋" w:hAnsi="仿宋" w:eastAsia="仿宋" w:cs="仿宋"/>
                <w:kern w:val="0"/>
                <w:sz w:val="21"/>
                <w:szCs w:val="21"/>
                <w:lang w:val="en-US" w:eastAsia="zh-CN"/>
              </w:rPr>
              <w:t>并</w:t>
            </w:r>
            <w:r>
              <w:rPr>
                <w:rFonts w:hint="eastAsia" w:ascii="仿宋" w:hAnsi="仿宋" w:eastAsia="仿宋" w:cs="仿宋"/>
                <w:sz w:val="21"/>
                <w:szCs w:val="21"/>
              </w:rPr>
              <w:t>对意识形态工作作一次小结。</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（2）实现理论的深化与创新。将意识形态理论教育和主题党日活动相结合，不拘泥于单一形式的学习。通过专家讲座、理论研讨会、学习经验交流会等多种形式，开展有声有色的学习活动。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定期研判重大舆情、重点情况、</w:t>
            </w:r>
            <w:r>
              <w:rPr>
                <w:rFonts w:hint="eastAsia" w:ascii="仿宋" w:hAnsi="仿宋" w:eastAsia="仿宋" w:cs="仿宋"/>
                <w:sz w:val="21"/>
                <w:szCs w:val="21"/>
              </w:rPr>
              <w:t>党员思想状况</w:t>
            </w:r>
            <w:r>
              <w:rPr>
                <w:rFonts w:hint="eastAsia" w:ascii="仿宋" w:hAnsi="仿宋" w:eastAsia="仿宋" w:cs="仿宋"/>
                <w:sz w:val="21"/>
                <w:szCs w:val="21"/>
                <w:lang w:eastAsia="zh-CN"/>
              </w:rPr>
              <w:t>。</w:t>
            </w:r>
            <w:r>
              <w:rPr>
                <w:rFonts w:hint="eastAsia" w:ascii="仿宋" w:hAnsi="仿宋" w:eastAsia="仿宋" w:cs="仿宋"/>
                <w:sz w:val="21"/>
                <w:szCs w:val="21"/>
              </w:rPr>
              <w:t>对一些苗头性倾向性问题，及时谈话</w:t>
            </w:r>
            <w:r>
              <w:rPr>
                <w:rFonts w:hint="eastAsia" w:ascii="仿宋" w:hAnsi="仿宋" w:eastAsia="仿宋" w:cs="仿宋"/>
                <w:sz w:val="21"/>
                <w:szCs w:val="21"/>
                <w:lang w:eastAsia="zh-CN"/>
              </w:rPr>
              <w:t>，必要时批评教育</w:t>
            </w:r>
            <w:r>
              <w:rPr>
                <w:rFonts w:hint="eastAsia" w:ascii="仿宋" w:hAnsi="仿宋" w:eastAsia="仿宋" w:cs="仿宋"/>
                <w:sz w:val="21"/>
                <w:szCs w:val="21"/>
              </w:rPr>
              <w:t>，</w:t>
            </w:r>
            <w:r>
              <w:rPr>
                <w:rFonts w:hint="eastAsia" w:ascii="仿宋" w:hAnsi="仿宋" w:eastAsia="仿宋" w:cs="仿宋"/>
                <w:sz w:val="21"/>
                <w:szCs w:val="21"/>
                <w:lang w:eastAsia="zh-CN"/>
              </w:rPr>
              <w:t>适时</w:t>
            </w:r>
            <w:r>
              <w:rPr>
                <w:rFonts w:hint="eastAsia" w:ascii="仿宋" w:hAnsi="仿宋" w:eastAsia="仿宋" w:cs="仿宋"/>
                <w:sz w:val="21"/>
                <w:szCs w:val="21"/>
              </w:rPr>
              <w:t>纠正引导</w:t>
            </w:r>
            <w:r>
              <w:rPr>
                <w:rFonts w:hint="eastAsia" w:ascii="仿宋" w:hAnsi="仿宋" w:eastAsia="仿宋" w:cs="仿宋"/>
                <w:sz w:val="21"/>
                <w:szCs w:val="21"/>
                <w:lang w:eastAsia="zh-CN"/>
              </w:rPr>
              <w:t>，筑牢意识形态工作安全屏障。</w:t>
            </w:r>
          </w:p>
          <w:p>
            <w:pPr>
              <w:widowControl/>
              <w:spacing w:line="240" w:lineRule="exact"/>
              <w:jc w:val="left"/>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50" w:type="dxa"/>
            <w:tcBorders/>
            <w:vAlign w:val="center"/>
          </w:tcPr>
          <w:p>
            <w:pPr>
              <w:widowControl/>
              <w:spacing w:line="24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1370" w:type="dxa"/>
            <w:tcBorders/>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color w:val="000000"/>
                <w:spacing w:val="-10"/>
                <w:sz w:val="21"/>
                <w:szCs w:val="21"/>
              </w:rPr>
              <w:t>党风廉政建设落实不到位</w:t>
            </w:r>
            <w:r>
              <w:rPr>
                <w:rFonts w:hint="eastAsia" w:ascii="仿宋" w:hAnsi="仿宋" w:eastAsia="仿宋" w:cs="仿宋"/>
                <w:color w:val="000000"/>
                <w:spacing w:val="-10"/>
                <w:sz w:val="21"/>
                <w:szCs w:val="21"/>
                <w:lang w:eastAsia="zh-CN"/>
              </w:rPr>
              <w:t>。</w:t>
            </w:r>
          </w:p>
        </w:tc>
        <w:tc>
          <w:tcPr>
            <w:tcW w:w="3389" w:type="dxa"/>
            <w:vAlign w:val="center"/>
          </w:tcPr>
          <w:p>
            <w:pPr>
              <w:widowControl/>
              <w:spacing w:line="240" w:lineRule="exact"/>
              <w:jc w:val="left"/>
              <w:rPr>
                <w:rFonts w:hint="eastAsia" w:ascii="仿宋" w:hAnsi="仿宋" w:eastAsia="仿宋" w:cs="仿宋"/>
                <w:kern w:val="0"/>
                <w:sz w:val="21"/>
                <w:szCs w:val="21"/>
                <w:lang w:eastAsia="zh-CN"/>
              </w:rPr>
            </w:pPr>
            <w:r>
              <w:rPr>
                <w:rFonts w:hint="eastAsia" w:ascii="仿宋" w:hAnsi="仿宋" w:eastAsia="仿宋" w:cs="仿宋"/>
                <w:sz w:val="21"/>
                <w:szCs w:val="21"/>
              </w:rPr>
              <w:t>全面从严治党主体责任落实不到位，对党员教育提醒不多，未见相关谈心谈话记录。2019年有党员因赌博被党内警告；2020年村主要负责人因赌博、年度考核等原因被提醒谈话。</w:t>
            </w:r>
          </w:p>
        </w:tc>
        <w:tc>
          <w:tcPr>
            <w:tcW w:w="1281"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已整改完成</w:t>
            </w:r>
          </w:p>
        </w:tc>
        <w:tc>
          <w:tcPr>
            <w:tcW w:w="398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党总支落实从严治党主体责任，党总支书记履行第一责任人责任。党总支与下属两个支部、班子成员签订全面从严治党责任书，确保工作落实。党总支定期</w:t>
            </w:r>
            <w:r>
              <w:rPr>
                <w:rFonts w:hint="eastAsia" w:ascii="仿宋" w:hAnsi="仿宋" w:eastAsia="仿宋" w:cs="仿宋"/>
                <w:sz w:val="21"/>
                <w:szCs w:val="21"/>
                <w:lang w:eastAsia="zh-CN"/>
              </w:rPr>
              <w:t>召开</w:t>
            </w:r>
            <w:r>
              <w:rPr>
                <w:rFonts w:hint="eastAsia" w:ascii="仿宋" w:hAnsi="仿宋" w:eastAsia="仿宋" w:cs="仿宋"/>
                <w:sz w:val="21"/>
                <w:szCs w:val="21"/>
              </w:rPr>
              <w:t>全面从严治党专题研究部署</w:t>
            </w:r>
            <w:r>
              <w:rPr>
                <w:rFonts w:hint="eastAsia" w:ascii="仿宋" w:hAnsi="仿宋" w:eastAsia="仿宋" w:cs="仿宋"/>
                <w:sz w:val="21"/>
                <w:szCs w:val="21"/>
                <w:lang w:eastAsia="zh-CN"/>
              </w:rPr>
              <w:t>会，做好相关会议记录。</w:t>
            </w:r>
          </w:p>
          <w:p>
            <w:pPr>
              <w:widowControl/>
              <w:spacing w:line="24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（2）加强党风廉政教育。</w:t>
            </w:r>
            <w:r>
              <w:rPr>
                <w:rFonts w:hint="eastAsia" w:ascii="仿宋" w:hAnsi="仿宋" w:eastAsia="仿宋" w:cs="仿宋"/>
                <w:sz w:val="21"/>
                <w:szCs w:val="21"/>
              </w:rPr>
              <w:t>组织</w:t>
            </w:r>
            <w:r>
              <w:rPr>
                <w:rFonts w:hint="eastAsia" w:ascii="仿宋" w:hAnsi="仿宋" w:eastAsia="仿宋" w:cs="仿宋"/>
                <w:sz w:val="21"/>
                <w:szCs w:val="21"/>
                <w:lang w:val="en-US" w:eastAsia="zh-CN"/>
              </w:rPr>
              <w:t>班子成员</w:t>
            </w:r>
            <w:r>
              <w:rPr>
                <w:rFonts w:hint="eastAsia" w:ascii="仿宋" w:hAnsi="仿宋" w:eastAsia="仿宋" w:cs="仿宋"/>
                <w:sz w:val="21"/>
                <w:szCs w:val="21"/>
                <w:lang w:eastAsia="zh-CN"/>
              </w:rPr>
              <w:t>定期</w:t>
            </w:r>
            <w:r>
              <w:rPr>
                <w:rFonts w:hint="eastAsia" w:ascii="仿宋" w:hAnsi="仿宋" w:eastAsia="仿宋" w:cs="仿宋"/>
                <w:sz w:val="21"/>
                <w:szCs w:val="21"/>
              </w:rPr>
              <w:t>学习《中国共产党廉洁自律准则》</w:t>
            </w:r>
            <w:r>
              <w:rPr>
                <w:rFonts w:hint="eastAsia" w:ascii="仿宋" w:hAnsi="仿宋" w:eastAsia="仿宋" w:cs="仿宋"/>
                <w:sz w:val="21"/>
                <w:szCs w:val="21"/>
                <w:lang w:eastAsia="zh-CN"/>
              </w:rPr>
              <w:t>《中国共产党纪律处分条例》等相关</w:t>
            </w:r>
            <w:r>
              <w:rPr>
                <w:rFonts w:hint="eastAsia" w:ascii="仿宋" w:hAnsi="仿宋" w:eastAsia="仿宋" w:cs="仿宋"/>
                <w:sz w:val="21"/>
                <w:szCs w:val="21"/>
              </w:rPr>
              <w:t>规定</w:t>
            </w:r>
            <w:r>
              <w:rPr>
                <w:rFonts w:hint="eastAsia" w:ascii="仿宋" w:hAnsi="仿宋" w:eastAsia="仿宋" w:cs="仿宋"/>
                <w:sz w:val="21"/>
                <w:szCs w:val="21"/>
                <w:lang w:eastAsia="zh-CN"/>
              </w:rPr>
              <w:t>及警示案例</w:t>
            </w:r>
            <w:r>
              <w:rPr>
                <w:rFonts w:hint="eastAsia" w:ascii="仿宋" w:hAnsi="仿宋" w:eastAsia="仿宋" w:cs="仿宋"/>
                <w:sz w:val="21"/>
                <w:szCs w:val="21"/>
              </w:rPr>
              <w:t>，及时提醒</w:t>
            </w:r>
            <w:r>
              <w:rPr>
                <w:rFonts w:hint="eastAsia" w:ascii="仿宋" w:hAnsi="仿宋" w:eastAsia="仿宋" w:cs="仿宋"/>
                <w:sz w:val="21"/>
                <w:szCs w:val="21"/>
                <w:lang w:val="en-US" w:eastAsia="zh-CN"/>
              </w:rPr>
              <w:t>班子成员</w:t>
            </w:r>
            <w:r>
              <w:rPr>
                <w:rFonts w:hint="eastAsia" w:ascii="仿宋" w:hAnsi="仿宋" w:eastAsia="仿宋" w:cs="仿宋"/>
                <w:sz w:val="21"/>
                <w:szCs w:val="21"/>
              </w:rPr>
              <w:t>增强廉洁自律和廉洁从政意识。制定党员谈话方案，</w:t>
            </w:r>
            <w:r>
              <w:rPr>
                <w:rFonts w:hint="eastAsia" w:ascii="仿宋" w:hAnsi="仿宋" w:eastAsia="仿宋" w:cs="仿宋"/>
                <w:sz w:val="21"/>
                <w:szCs w:val="21"/>
                <w:lang w:val="en-US" w:eastAsia="zh-CN"/>
              </w:rPr>
              <w:t>对苗头性倾向性问题开展提醒谈话，并做好谈心谈话记录。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50" w:type="dxa"/>
            <w:vMerge w:val="restart"/>
            <w:tcBorders/>
            <w:vAlign w:val="center"/>
          </w:tcPr>
          <w:p>
            <w:pPr>
              <w:widowControl/>
              <w:spacing w:line="24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1370" w:type="dxa"/>
            <w:vMerge w:val="restart"/>
            <w:tcBorders/>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sz w:val="21"/>
                <w:szCs w:val="21"/>
              </w:rPr>
              <w:t>财务制度执行不严格</w:t>
            </w:r>
            <w:r>
              <w:rPr>
                <w:rFonts w:hint="eastAsia" w:ascii="仿宋" w:hAnsi="仿宋" w:eastAsia="仿宋" w:cs="仿宋"/>
                <w:sz w:val="21"/>
                <w:szCs w:val="21"/>
                <w:lang w:eastAsia="zh-CN"/>
              </w:rPr>
              <w:t>。</w:t>
            </w:r>
          </w:p>
        </w:tc>
        <w:tc>
          <w:tcPr>
            <w:tcW w:w="3389" w:type="dxa"/>
            <w:vAlign w:val="center"/>
          </w:tcPr>
          <w:p>
            <w:pPr>
              <w:widowControl/>
              <w:spacing w:line="24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rPr>
              <w:t>妇女节误工补贴、老娘舅讲座误工补贴、群众参会补贴发放无依据。</w:t>
            </w:r>
          </w:p>
        </w:tc>
        <w:tc>
          <w:tcPr>
            <w:tcW w:w="1281"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已整改完成</w:t>
            </w:r>
          </w:p>
        </w:tc>
        <w:tc>
          <w:tcPr>
            <w:tcW w:w="398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加强理论学习，提升业务水平。组织村委主要干部及财务人员学习农村财务管理办法，严格规范财务制度，原始凭证按要求入账。</w:t>
            </w:r>
            <w:r>
              <w:rPr>
                <w:rFonts w:hint="eastAsia" w:ascii="仿宋" w:hAnsi="仿宋" w:eastAsia="仿宋" w:cs="仿宋"/>
                <w:kern w:val="0"/>
                <w:sz w:val="21"/>
                <w:szCs w:val="21"/>
                <w:lang w:eastAsia="zh-CN"/>
              </w:rPr>
              <w:t>不再发放无依据的误工补贴</w:t>
            </w:r>
            <w:r>
              <w:rPr>
                <w:rFonts w:hint="eastAsia" w:ascii="仿宋" w:hAnsi="仿宋" w:eastAsia="仿宋" w:cs="仿宋"/>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750" w:type="dxa"/>
            <w:vMerge w:val="continue"/>
            <w:tcBorders/>
            <w:vAlign w:val="center"/>
          </w:tcPr>
          <w:p>
            <w:pPr>
              <w:widowControl/>
              <w:spacing w:line="240" w:lineRule="exact"/>
              <w:jc w:val="center"/>
              <w:rPr>
                <w:rFonts w:hint="eastAsia" w:ascii="仿宋" w:hAnsi="仿宋" w:eastAsia="仿宋" w:cs="仿宋"/>
                <w:kern w:val="0"/>
                <w:sz w:val="21"/>
                <w:szCs w:val="21"/>
              </w:rPr>
            </w:pPr>
          </w:p>
        </w:tc>
        <w:tc>
          <w:tcPr>
            <w:tcW w:w="1370" w:type="dxa"/>
            <w:vMerge w:val="continue"/>
            <w:tcBorders/>
            <w:vAlign w:val="center"/>
          </w:tcPr>
          <w:p>
            <w:pPr>
              <w:widowControl/>
              <w:spacing w:line="240" w:lineRule="exact"/>
              <w:jc w:val="left"/>
              <w:rPr>
                <w:rFonts w:hint="eastAsia" w:ascii="仿宋" w:hAnsi="仿宋" w:eastAsia="仿宋" w:cs="仿宋"/>
                <w:kern w:val="0"/>
                <w:sz w:val="21"/>
                <w:szCs w:val="21"/>
              </w:rPr>
            </w:pPr>
          </w:p>
        </w:tc>
        <w:tc>
          <w:tcPr>
            <w:tcW w:w="3389" w:type="dxa"/>
            <w:vAlign w:val="center"/>
          </w:tcPr>
          <w:p>
            <w:pPr>
              <w:widowControl/>
              <w:spacing w:line="240" w:lineRule="exact"/>
              <w:jc w:val="left"/>
              <w:rPr>
                <w:rFonts w:hint="eastAsia" w:ascii="仿宋" w:hAnsi="仿宋" w:eastAsia="仿宋" w:cs="仿宋"/>
                <w:kern w:val="0"/>
                <w:sz w:val="21"/>
                <w:szCs w:val="21"/>
                <w:lang w:eastAsia="zh-CN"/>
              </w:rPr>
            </w:pPr>
            <w:r>
              <w:rPr>
                <w:rFonts w:hint="eastAsia" w:ascii="仿宋" w:hAnsi="仿宋" w:eastAsia="仿宋" w:cs="仿宋"/>
                <w:kern w:val="0"/>
                <w:sz w:val="21"/>
                <w:szCs w:val="21"/>
              </w:rPr>
              <w:t>乐山路推进补偿款未发放到位，群众反响较大。</w:t>
            </w:r>
          </w:p>
        </w:tc>
        <w:tc>
          <w:tcPr>
            <w:tcW w:w="1281"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正在推进整改</w:t>
            </w:r>
          </w:p>
        </w:tc>
        <w:tc>
          <w:tcPr>
            <w:tcW w:w="398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乐山路推进补偿款中的公建设施款大部分是村委所有，小部分涉及几个村民小组，村委与村民组长对接尽快把属于村民小组部分的公建设施款拨到组级账上，现3组的公建设施款已拨到组级账上，</w:t>
            </w:r>
            <w:r>
              <w:rPr>
                <w:rFonts w:hint="eastAsia" w:ascii="仿宋" w:hAnsi="仿宋" w:eastAsia="仿宋" w:cs="仿宋"/>
                <w:kern w:val="0"/>
                <w:sz w:val="21"/>
                <w:szCs w:val="21"/>
                <w:lang w:eastAsia="zh-CN"/>
              </w:rPr>
              <w:t>其他组正在与村民组长对接中。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50" w:type="dxa"/>
            <w:vMerge w:val="restart"/>
            <w:tcBorders/>
            <w:vAlign w:val="center"/>
          </w:tcPr>
          <w:p>
            <w:pPr>
              <w:widowControl/>
              <w:spacing w:line="24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1370" w:type="dxa"/>
            <w:vMerge w:val="restart"/>
            <w:tcBorders/>
            <w:vAlign w:val="center"/>
          </w:tcPr>
          <w:p>
            <w:pPr>
              <w:keepNext w:val="0"/>
              <w:keepLines w:val="0"/>
              <w:pageBreakBefore w:val="0"/>
              <w:widowControl w:val="0"/>
              <w:numPr>
                <w:numId w:val="0"/>
              </w:numPr>
              <w:tabs>
                <w:tab w:val="left" w:pos="6252"/>
              </w:tabs>
              <w:kinsoku/>
              <w:wordWrap/>
              <w:overflowPunct/>
              <w:topLinePunct w:val="0"/>
              <w:bidi w:val="0"/>
              <w:adjustRightInd/>
              <w:snapToGrid/>
              <w:spacing w:line="26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基础党务工作薄弱。</w:t>
            </w:r>
          </w:p>
          <w:p>
            <w:pPr>
              <w:widowControl/>
              <w:spacing w:line="240" w:lineRule="exact"/>
              <w:jc w:val="left"/>
              <w:rPr>
                <w:rFonts w:hint="eastAsia" w:ascii="仿宋" w:hAnsi="仿宋" w:eastAsia="仿宋" w:cs="仿宋"/>
                <w:kern w:val="0"/>
                <w:sz w:val="21"/>
                <w:szCs w:val="21"/>
              </w:rPr>
            </w:pPr>
          </w:p>
        </w:tc>
        <w:tc>
          <w:tcPr>
            <w:tcW w:w="3389" w:type="dxa"/>
            <w:vAlign w:val="center"/>
          </w:tcPr>
          <w:p>
            <w:pPr>
              <w:keepNext w:val="0"/>
              <w:keepLines w:val="0"/>
              <w:pageBreakBefore w:val="0"/>
              <w:widowControl w:val="0"/>
              <w:numPr>
                <w:ilvl w:val="0"/>
                <w:numId w:val="0"/>
              </w:numPr>
              <w:tabs>
                <w:tab w:val="left" w:pos="6252"/>
              </w:tabs>
              <w:kinsoku/>
              <w:wordWrap/>
              <w:overflowPunct/>
              <w:topLinePunct w:val="0"/>
              <w:bidi w:val="0"/>
              <w:adjustRightInd/>
              <w:snapToGrid/>
              <w:spacing w:line="26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rPr>
              <w:t>党支部、党小组无独立组织活动记录；组织生活会制度执行仍不严格，批评与自我批评不深刻，2018年2月组织生活会参加人员自我批评敷衍，只有一句话；2021年第二支部“七一”专题组织生活会学习不深入，交流发言较简单；</w:t>
            </w:r>
          </w:p>
          <w:p>
            <w:pPr>
              <w:widowControl/>
              <w:spacing w:line="240" w:lineRule="exact"/>
              <w:jc w:val="left"/>
              <w:rPr>
                <w:rFonts w:hint="eastAsia" w:ascii="仿宋" w:hAnsi="仿宋" w:eastAsia="仿宋" w:cs="仿宋"/>
                <w:kern w:val="0"/>
                <w:sz w:val="21"/>
                <w:szCs w:val="21"/>
                <w:lang w:eastAsia="zh-CN"/>
              </w:rPr>
            </w:pPr>
          </w:p>
        </w:tc>
        <w:tc>
          <w:tcPr>
            <w:tcW w:w="1281"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已整改完成</w:t>
            </w:r>
          </w:p>
        </w:tc>
        <w:tc>
          <w:tcPr>
            <w:tcW w:w="398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规范</w:t>
            </w:r>
            <w:r>
              <w:rPr>
                <w:rFonts w:hint="eastAsia" w:ascii="仿宋" w:hAnsi="仿宋" w:eastAsia="仿宋" w:cs="仿宋"/>
                <w:sz w:val="21"/>
                <w:szCs w:val="21"/>
              </w:rPr>
              <w:t>党支部、党小组活动记录</w:t>
            </w:r>
            <w:r>
              <w:rPr>
                <w:rFonts w:hint="eastAsia" w:ascii="仿宋" w:hAnsi="仿宋" w:eastAsia="仿宋" w:cs="仿宋"/>
                <w:sz w:val="21"/>
                <w:szCs w:val="21"/>
                <w:lang w:val="en-US" w:eastAsia="zh-CN"/>
              </w:rPr>
              <w:t>台账。</w:t>
            </w:r>
            <w:r>
              <w:rPr>
                <w:rFonts w:hint="eastAsia" w:ascii="仿宋" w:hAnsi="仿宋" w:eastAsia="仿宋" w:cs="仿宋"/>
                <w:sz w:val="21"/>
                <w:szCs w:val="21"/>
              </w:rPr>
              <w:t>结合《党支部一本通》具体要求，足次数</w:t>
            </w:r>
            <w:r>
              <w:rPr>
                <w:rFonts w:hint="eastAsia" w:ascii="仿宋" w:hAnsi="仿宋" w:eastAsia="仿宋" w:cs="仿宋"/>
                <w:kern w:val="0"/>
                <w:sz w:val="21"/>
                <w:szCs w:val="21"/>
              </w:rPr>
              <w:t>、高质量</w:t>
            </w:r>
            <w:r>
              <w:rPr>
                <w:rFonts w:hint="eastAsia" w:ascii="仿宋" w:hAnsi="仿宋" w:eastAsia="仿宋" w:cs="仿宋"/>
                <w:kern w:val="0"/>
                <w:sz w:val="21"/>
                <w:szCs w:val="21"/>
                <w:lang w:val="en-US" w:eastAsia="zh-CN"/>
              </w:rPr>
              <w:t>组织开展活动。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2</w:t>
            </w:r>
            <w:r>
              <w:rPr>
                <w:rFonts w:hint="eastAsia" w:ascii="仿宋" w:hAnsi="仿宋" w:eastAsia="仿宋" w:cs="仿宋"/>
                <w:sz w:val="21"/>
                <w:szCs w:val="21"/>
              </w:rPr>
              <w:t>）严格</w:t>
            </w:r>
            <w:r>
              <w:rPr>
                <w:rFonts w:hint="eastAsia" w:ascii="仿宋" w:hAnsi="仿宋" w:eastAsia="仿宋" w:cs="仿宋"/>
                <w:sz w:val="21"/>
                <w:szCs w:val="21"/>
                <w:lang w:val="en-US" w:eastAsia="zh-CN"/>
              </w:rPr>
              <w:t>执行</w:t>
            </w:r>
            <w:r>
              <w:rPr>
                <w:rFonts w:hint="eastAsia" w:ascii="仿宋" w:hAnsi="仿宋" w:eastAsia="仿宋" w:cs="仿宋"/>
                <w:sz w:val="21"/>
                <w:szCs w:val="21"/>
              </w:rPr>
              <w:t>组织生活会制度。严肃组织生活会程序，认真开展批评与自我批评，真正做到“红脸、出汗”，防止形式化</w:t>
            </w:r>
            <w:r>
              <w:rPr>
                <w:rFonts w:hint="eastAsia" w:ascii="仿宋" w:hAnsi="仿宋" w:eastAsia="仿宋" w:cs="仿宋"/>
                <w:kern w:val="0"/>
                <w:sz w:val="21"/>
                <w:szCs w:val="21"/>
              </w:rPr>
              <w:t>、表面化</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）充分利用“三会</w:t>
            </w:r>
            <w:r>
              <w:rPr>
                <w:rFonts w:hint="eastAsia" w:ascii="仿宋" w:hAnsi="仿宋" w:eastAsia="仿宋" w:cs="仿宋"/>
                <w:sz w:val="21"/>
                <w:szCs w:val="21"/>
                <w:lang w:eastAsia="zh-CN"/>
              </w:rPr>
              <w:t>一</w:t>
            </w:r>
            <w:r>
              <w:rPr>
                <w:rFonts w:hint="eastAsia" w:ascii="仿宋" w:hAnsi="仿宋" w:eastAsia="仿宋" w:cs="仿宋"/>
                <w:sz w:val="21"/>
                <w:szCs w:val="21"/>
              </w:rPr>
              <w:t xml:space="preserve">课”、 </w:t>
            </w:r>
            <w:r>
              <w:rPr>
                <w:rFonts w:hint="eastAsia" w:ascii="仿宋" w:hAnsi="仿宋" w:eastAsia="仿宋" w:cs="仿宋"/>
                <w:sz w:val="21"/>
                <w:szCs w:val="21"/>
                <w:lang w:val="en-US" w:eastAsia="zh-CN"/>
              </w:rPr>
              <w:t>组织生活会</w:t>
            </w:r>
            <w:r>
              <w:rPr>
                <w:rFonts w:hint="eastAsia" w:ascii="仿宋" w:hAnsi="仿宋" w:eastAsia="仿宋" w:cs="仿宋"/>
                <w:sz w:val="21"/>
                <w:szCs w:val="21"/>
              </w:rPr>
              <w:t>等时机，组织党员学习《党章》和关于落实组织生活制度的相关规定,使广大党员充分认识到,严格落实组织生活制度的重要性。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50" w:type="dxa"/>
            <w:vMerge w:val="continue"/>
            <w:tcBorders/>
            <w:vAlign w:val="center"/>
          </w:tcPr>
          <w:p>
            <w:pPr>
              <w:widowControl/>
              <w:spacing w:line="240" w:lineRule="exact"/>
              <w:jc w:val="center"/>
              <w:rPr>
                <w:rFonts w:hint="eastAsia" w:ascii="仿宋" w:hAnsi="仿宋" w:eastAsia="仿宋" w:cs="仿宋"/>
                <w:kern w:val="0"/>
                <w:sz w:val="21"/>
                <w:szCs w:val="21"/>
              </w:rPr>
            </w:pPr>
          </w:p>
        </w:tc>
        <w:tc>
          <w:tcPr>
            <w:tcW w:w="1370" w:type="dxa"/>
            <w:vMerge w:val="continue"/>
            <w:tcBorders/>
            <w:vAlign w:val="center"/>
          </w:tcPr>
          <w:p>
            <w:pPr>
              <w:widowControl/>
              <w:spacing w:line="240" w:lineRule="exact"/>
              <w:jc w:val="left"/>
              <w:rPr>
                <w:rFonts w:hint="eastAsia" w:ascii="仿宋" w:hAnsi="仿宋" w:eastAsia="仿宋" w:cs="仿宋"/>
                <w:kern w:val="0"/>
                <w:sz w:val="21"/>
                <w:szCs w:val="21"/>
              </w:rPr>
            </w:pPr>
          </w:p>
        </w:tc>
        <w:tc>
          <w:tcPr>
            <w:tcW w:w="3389" w:type="dxa"/>
            <w:vAlign w:val="center"/>
          </w:tcPr>
          <w:p>
            <w:pPr>
              <w:widowControl/>
              <w:spacing w:line="240" w:lineRule="exact"/>
              <w:jc w:val="left"/>
              <w:rPr>
                <w:rFonts w:hint="eastAsia" w:ascii="仿宋" w:hAnsi="仿宋" w:eastAsia="仿宋" w:cs="仿宋"/>
                <w:kern w:val="0"/>
                <w:sz w:val="21"/>
                <w:szCs w:val="21"/>
                <w:lang w:eastAsia="zh-CN"/>
              </w:rPr>
            </w:pPr>
            <w:r>
              <w:rPr>
                <w:rFonts w:hint="eastAsia" w:ascii="仿宋" w:hAnsi="仿宋" w:eastAsia="仿宋" w:cs="仿宋"/>
                <w:color w:val="000000"/>
                <w:kern w:val="0"/>
                <w:sz w:val="21"/>
                <w:szCs w:val="21"/>
                <w:lang w:val="en-US" w:eastAsia="zh-CN"/>
              </w:rPr>
              <w:t>（2）</w:t>
            </w:r>
            <w:r>
              <w:rPr>
                <w:rFonts w:hint="eastAsia" w:ascii="仿宋" w:hAnsi="仿宋" w:eastAsia="仿宋" w:cs="仿宋"/>
                <w:sz w:val="21"/>
                <w:szCs w:val="21"/>
              </w:rPr>
              <w:t>相当一部分党员长期游离在党组织有效管理外，很少甚至不参与组织活动。</w:t>
            </w:r>
          </w:p>
        </w:tc>
        <w:tc>
          <w:tcPr>
            <w:tcW w:w="1281" w:type="dxa"/>
            <w:tcBorders/>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已整改完成</w:t>
            </w:r>
          </w:p>
        </w:tc>
        <w:tc>
          <w:tcPr>
            <w:tcW w:w="3982" w:type="dxa"/>
            <w:vAlign w:val="center"/>
          </w:tcPr>
          <w:p>
            <w:pPr>
              <w:widowControl/>
              <w:spacing w:line="240" w:lineRule="exact"/>
              <w:jc w:val="left"/>
              <w:rPr>
                <w:rFonts w:hint="eastAsia" w:ascii="仿宋" w:hAnsi="仿宋" w:eastAsia="仿宋" w:cs="仿宋"/>
                <w:sz w:val="21"/>
                <w:szCs w:val="21"/>
                <w:lang w:val="en-US" w:eastAsia="zh-CN"/>
              </w:rPr>
            </w:pPr>
            <w:r>
              <w:rPr>
                <w:rFonts w:hint="eastAsia" w:ascii="仿宋" w:hAnsi="仿宋" w:eastAsia="仿宋" w:cs="仿宋"/>
                <w:sz w:val="21"/>
                <w:szCs w:val="21"/>
              </w:rPr>
              <w:t>充分利用网络媒体的平台优势，</w:t>
            </w:r>
            <w:r>
              <w:rPr>
                <w:rFonts w:hint="eastAsia" w:ascii="仿宋" w:hAnsi="仿宋" w:eastAsia="仿宋" w:cs="仿宋"/>
                <w:sz w:val="21"/>
                <w:szCs w:val="21"/>
                <w:lang w:eastAsia="zh-CN"/>
              </w:rPr>
              <w:t>通过学习强国</w:t>
            </w:r>
            <w:r>
              <w:rPr>
                <w:rFonts w:hint="eastAsia" w:ascii="仿宋" w:hAnsi="仿宋" w:eastAsia="仿宋" w:cs="仿宋"/>
                <w:sz w:val="21"/>
                <w:szCs w:val="21"/>
                <w:lang w:val="en-US" w:eastAsia="zh-CN"/>
              </w:rPr>
              <w:t>app等</w:t>
            </w:r>
            <w:r>
              <w:rPr>
                <w:rFonts w:hint="eastAsia" w:ascii="仿宋" w:hAnsi="仿宋" w:eastAsia="仿宋" w:cs="仿宋"/>
                <w:sz w:val="21"/>
                <w:szCs w:val="21"/>
              </w:rPr>
              <w:t>网上</w:t>
            </w:r>
            <w:r>
              <w:rPr>
                <w:rFonts w:hint="eastAsia" w:ascii="仿宋" w:hAnsi="仿宋" w:eastAsia="仿宋" w:cs="仿宋"/>
                <w:sz w:val="21"/>
                <w:szCs w:val="21"/>
                <w:lang w:eastAsia="zh-CN"/>
              </w:rPr>
              <w:t>学习平台</w:t>
            </w:r>
            <w:r>
              <w:rPr>
                <w:rFonts w:hint="eastAsia" w:ascii="仿宋" w:hAnsi="仿宋" w:eastAsia="仿宋" w:cs="仿宋"/>
                <w:sz w:val="21"/>
                <w:szCs w:val="21"/>
              </w:rPr>
              <w:t>,通过更宽的视角，更丰富的资源，更便捷的方式使党员在平时不出门就</w:t>
            </w:r>
            <w:r>
              <w:rPr>
                <w:rFonts w:hint="eastAsia" w:ascii="仿宋" w:hAnsi="仿宋" w:eastAsia="仿宋" w:cs="仿宋"/>
                <w:sz w:val="21"/>
                <w:szCs w:val="21"/>
                <w:lang w:eastAsia="zh-CN"/>
              </w:rPr>
              <w:t>能</w:t>
            </w:r>
            <w:r>
              <w:rPr>
                <w:rFonts w:hint="eastAsia" w:ascii="仿宋" w:hAnsi="仿宋" w:eastAsia="仿宋" w:cs="仿宋"/>
                <w:sz w:val="21"/>
                <w:szCs w:val="21"/>
              </w:rPr>
              <w:t>学习新时代党的理论知识</w:t>
            </w:r>
            <w:r>
              <w:rPr>
                <w:rFonts w:hint="eastAsia" w:ascii="仿宋" w:hAnsi="仿宋" w:eastAsia="仿宋" w:cs="仿宋"/>
                <w:sz w:val="21"/>
                <w:szCs w:val="21"/>
                <w:lang w:eastAsia="zh-CN"/>
              </w:rPr>
              <w:t>。</w:t>
            </w:r>
          </w:p>
        </w:tc>
      </w:tr>
    </w:tbl>
    <w:p>
      <w:pPr>
        <w:jc w:val="center"/>
        <w:rPr>
          <w:rFonts w:hint="eastAsia" w:ascii="仿宋" w:hAnsi="仿宋" w:eastAsia="仿宋" w:cs="仿宋"/>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4A81"/>
    <w:rsid w:val="00721B44"/>
    <w:rsid w:val="00E74A81"/>
    <w:rsid w:val="31EF74E1"/>
    <w:rsid w:val="3F9B41C3"/>
    <w:rsid w:val="47D34487"/>
    <w:rsid w:val="52717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szCs w:val="24"/>
    </w:rPr>
  </w:style>
  <w:style w:type="paragraph" w:styleId="4">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3"/>
    <w:qFormat/>
    <w:uiPriority w:val="9"/>
    <w:rPr>
      <w:rFonts w:ascii="Times New Roman" w:hAnsi="Times New Roman" w:eastAsia="仿宋_GB2312"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15</Words>
  <Characters>86</Characters>
  <Lines>1</Lines>
  <Paragraphs>1</Paragraphs>
  <TotalTime>4</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2022-05-13T02:43:00Z</dcterms:created>
  <dc:creator>Windows 用户</dc:creator>
  <cp:lastModifiedBy>轻风飘飘</cp:lastModifiedBy>
  <dcterms:modified xsi:type="dcterms:W3CDTF">2022-05-16T01:48:42Z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