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480"/>
        </w:tabs>
        <w:spacing w:line="640" w:lineRule="exact"/>
        <w:jc w:val="left"/>
        <w:rPr>
          <w:rFonts w:hint="eastAsia" w:eastAsia="黑体" w:cs="方正小标宋简体"/>
          <w:szCs w:val="32"/>
        </w:rPr>
      </w:pPr>
      <w:r>
        <w:rPr>
          <w:rFonts w:hint="eastAsia" w:eastAsia="黑体" w:cs="方正小标宋简体"/>
          <w:szCs w:val="32"/>
        </w:rPr>
        <w:t>附件1</w:t>
      </w:r>
    </w:p>
    <w:p>
      <w:pPr>
        <w:widowControl/>
        <w:spacing w:line="640" w:lineRule="exact"/>
        <w:jc w:val="center"/>
        <w:rPr>
          <w:rFonts w:hint="eastAsia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color w:val="000000"/>
          <w:sz w:val="36"/>
          <w:szCs w:val="36"/>
          <w:lang w:eastAsia="zh-CN"/>
        </w:rPr>
        <w:t>新龙湖社区</w:t>
      </w:r>
      <w:r>
        <w:rPr>
          <w:rFonts w:hint="eastAsia" w:eastAsia="方正小标宋简体" w:cs="方正小标宋简体"/>
          <w:color w:val="000000"/>
          <w:sz w:val="36"/>
          <w:szCs w:val="36"/>
        </w:rPr>
        <w:t>党组织</w:t>
      </w:r>
      <w:r>
        <w:rPr>
          <w:rFonts w:hint="eastAsia" w:eastAsia="方正小标宋简体" w:cs="方正小标宋简体"/>
          <w:color w:val="000000"/>
          <w:spacing w:val="-6"/>
          <w:sz w:val="36"/>
          <w:szCs w:val="36"/>
        </w:rPr>
        <w:t>落实巡察整改进展清单</w:t>
      </w:r>
    </w:p>
    <w:tbl>
      <w:tblPr>
        <w:tblStyle w:val="7"/>
        <w:tblW w:w="63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76"/>
        <w:gridCol w:w="3349"/>
        <w:gridCol w:w="1321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4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序号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存在问题</w:t>
            </w:r>
          </w:p>
        </w:tc>
        <w:tc>
          <w:tcPr>
            <w:tcW w:w="3349" w:type="dxa"/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hint="eastAsia" w:eastAsia="黑体" w:cs="宋体"/>
                <w:kern w:val="0"/>
                <w:sz w:val="24"/>
              </w:rPr>
              <w:t>具体表现</w:t>
            </w:r>
          </w:p>
        </w:tc>
        <w:tc>
          <w:tcPr>
            <w:tcW w:w="1321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整改进度</w:t>
            </w:r>
          </w:p>
        </w:tc>
        <w:tc>
          <w:tcPr>
            <w:tcW w:w="3982" w:type="dxa"/>
            <w:noWrap/>
            <w:vAlign w:val="center"/>
          </w:tcPr>
          <w:p>
            <w:pPr>
              <w:widowControl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整改成效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74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落实巡察整改不到位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整改责任未压紧压实，部分问题依然存在。如“三重一大”制度执行仍不到位，会议内容多为资金使用、项目审核，其他重大事项未纳入议题。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（1）2022年1月5日，召开党总支会议，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认真学习研读区委巡查组反馈意见。</w:t>
            </w:r>
          </w:p>
          <w:p>
            <w:pPr>
              <w:spacing w:line="240" w:lineRule="auto"/>
              <w:jc w:val="both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（2）集中学习“三重一大”集体决策制度，明确社区“三重一大”集体决策议事范围、具体内容和民主决策程序，严格规范台账记录。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安全发展理念不牢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新桥商业广场内外卖商家众多，均使用罐装液化气，消防安全隐患较大。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（1）加强安全发展宣传力度。通过发放宣传折页、张贴海报等方式进行安全宣传教育，增强商铺业主安全意识，配合社区做好长效管理工作。</w:t>
            </w: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（2）加强对商铺的排查力度，协助安装报警器，告知业主罐装液化气存在的消防安全隐患较大，督促整改。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4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 xml:space="preserve">  3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社区治理水平不高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馨都苑</w:t>
            </w:r>
            <w:r>
              <w:rPr>
                <w:rFonts w:hint="eastAsia" w:cs="仿宋_GB2312"/>
                <w:kern w:val="0"/>
                <w:sz w:val="21"/>
                <w:szCs w:val="21"/>
              </w:rPr>
              <w:t>小区基础设施陈旧，物业管理矛盾突出，社区未采取有效措施。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正在推进</w:t>
            </w:r>
          </w:p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整改</w:t>
            </w:r>
          </w:p>
        </w:tc>
        <w:tc>
          <w:tcPr>
            <w:tcW w:w="3982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（1）提升服务意识。针对馨都苑小区1甲、1乙楼道门口绿化带被人为损坏这一情况，物业进行了石板铺装，方便居民出行。</w:t>
            </w:r>
          </w:p>
          <w:p>
            <w:pPr>
              <w:spacing w:line="240" w:lineRule="auto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（2）优化居住环境。馨都苑小区4个单元楼和珑庭1号岗亭大厅墙面将粉刷出新，这一项目</w:t>
            </w:r>
            <w:r>
              <w:rPr>
                <w:rFonts w:hint="eastAsia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因疫情原因暂时搁置，</w:t>
            </w: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计划于6月底前完成。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hint="default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意识形态工作重视不够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仿宋_GB2312"/>
                <w:kern w:val="0"/>
                <w:sz w:val="21"/>
                <w:szCs w:val="21"/>
              </w:rPr>
              <w:t>工作方法简单，理论学习不深入，形势分析重形式，查摆问题不具体。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正在推进</w:t>
            </w:r>
          </w:p>
          <w:p>
            <w:pPr>
              <w:widowControl/>
              <w:spacing w:line="240" w:lineRule="exact"/>
              <w:jc w:val="center"/>
              <w:rPr>
                <w:rFonts w:hint="eastAsia" w:cs="仿宋_GB2312"/>
                <w:kern w:val="0"/>
                <w:sz w:val="21"/>
                <w:szCs w:val="21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整改</w:t>
            </w:r>
          </w:p>
        </w:tc>
        <w:tc>
          <w:tcPr>
            <w:tcW w:w="3982" w:type="dxa"/>
            <w:vAlign w:val="center"/>
          </w:tcPr>
          <w:p>
            <w:pPr>
              <w:pStyle w:val="12"/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（1）成立新一届新龙湖社区意识形态工作领导小组，2022年2月11日召开上半年意识形态工作部署会议。</w:t>
            </w:r>
          </w:p>
          <w:p>
            <w:pPr>
              <w:pStyle w:val="12"/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（2）多途径强化党员意识形态教育。通过观看纪录片、交流心得及分发红色书籍等方式推进意识形态工作常态化和科学化。</w:t>
            </w:r>
          </w:p>
          <w:p>
            <w:pPr>
              <w:pStyle w:val="12"/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kern w:val="0"/>
                <w:sz w:val="21"/>
                <w:szCs w:val="21"/>
                <w:lang w:val="en-US" w:eastAsia="zh-CN" w:bidi="ar-SA"/>
              </w:rPr>
              <w:t>（3）强化身边典型引领作用。成立“好人工作室”，积极挖掘凡人善举，充分发挥榜样力量。目前，3楼社区活动室正在装修中，因疫情原因，“好人工作室”预计于8月底完成。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  <w:tc>
          <w:tcPr>
            <w:tcW w:w="3349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信访化解能力不强，社区居民黄淑萍信访问题未及时化解被区纪委督办。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8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定期通过电话、上门走访等多种形式加强与黄淑萍的沟通交流，协助她做好心理疏导与调适工作。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ind w:left="0" w:leftChars="0" w:firstLine="0" w:firstLineChars="0"/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党风廉政建设落实不到位</w:t>
            </w:r>
          </w:p>
        </w:tc>
        <w:tc>
          <w:tcPr>
            <w:tcW w:w="3349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全面从严治党主体责任落实不力，对党员教育提醒不多，未见廉政谈话记录。近3年多名党员因赌博受到党内警告处分。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pStyle w:val="12"/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（1）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落实全面从严治党主体责任。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定期组织学习党的十九届六中全会提出的落实党风廉政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建设责任制的精神要领，党总支纪检委员切实担负起党风廉政监督责任。</w:t>
            </w:r>
          </w:p>
          <w:p>
            <w:pPr>
              <w:pStyle w:val="12"/>
              <w:widowControl/>
              <w:spacing w:line="240" w:lineRule="auto"/>
              <w:ind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（2）开展一对一廉政谈话。及时了解党员的思想动态及生活、工作状况，增强党员教育的针对性和实效性，并做好台账记录。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（3）加强监督力度。对党员干部违纪违规倾向性问题保持高度重视和警惕，一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发现苗头，纪检委员认真履职，及时谈话，避免违规行为发生。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三资管理不到位</w:t>
            </w:r>
          </w:p>
        </w:tc>
        <w:tc>
          <w:tcPr>
            <w:tcW w:w="3349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2018年社区办公桌椅超标配置；新桥合作社长期挂账，至今尚有3笔未收回。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hint="eastAsia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未完成</w:t>
            </w:r>
          </w:p>
        </w:tc>
        <w:tc>
          <w:tcPr>
            <w:tcW w:w="398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合作社挂账事宜需经新桥董监会、股民代表会会议商讨通过，因疫情原因，会议暂未开。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hint="default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财务制度执行不严</w:t>
            </w:r>
          </w:p>
        </w:tc>
        <w:tc>
          <w:tcPr>
            <w:tcW w:w="3349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社区搬家费明细不清；大坝合作社推进补偿款、拆迁款、新桥合作社北部新城特殊附着物补偿款应退未退。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hint="eastAsia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eastAsia="zh-CN"/>
              </w:rPr>
              <w:t>未完成</w:t>
            </w:r>
          </w:p>
        </w:tc>
        <w:tc>
          <w:tcPr>
            <w:tcW w:w="3982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新桥合作社北部新城特殊附着物补偿款应退未退，此笔款项不能退，董事长任立伟将联系原分管领导朱焱出面，协商解决此事</w:t>
            </w: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4" w:type="dxa"/>
            <w:vAlign w:val="center"/>
          </w:tcPr>
          <w:p>
            <w:pPr>
              <w:pStyle w:val="2"/>
              <w:ind w:left="0" w:leftChars="0" w:firstLine="210" w:firstLineChars="100"/>
              <w:rPr>
                <w:rFonts w:hint="default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仿宋_GB2312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基础党务工作薄弱</w:t>
            </w:r>
          </w:p>
        </w:tc>
        <w:tc>
          <w:tcPr>
            <w:tcW w:w="3349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党支部活动依托党总支，无单独活动记录；党支部会议记录不规范；2019年至今未按要求开展组织生活会；违纪党员处理未经党员大会讨论；党员发展程序不规范，以党总支冬训会代替党支部会议讨论党员发展。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_GB2312"/>
                <w:kern w:val="0"/>
                <w:sz w:val="21"/>
                <w:szCs w:val="21"/>
              </w:rPr>
              <w:t>已整改完成</w:t>
            </w:r>
          </w:p>
        </w:tc>
        <w:tc>
          <w:tcPr>
            <w:tcW w:w="398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（1）组织下属党支部党务工作者进行党务工作规范性培训，完善工作内容，进一步规范《党总支会议记录簿》、《党支部一本通》记录标准，确保内容真实、格式规范。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（2）集中学习违纪党员处理流程，避免不规范情况再次发生。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Mjk4NjQwYzM0ZmU1NTdkNzJmYWJhMTE2ZDg3YjAifQ=="/>
  </w:docVars>
  <w:rsids>
    <w:rsidRoot w:val="00E74A81"/>
    <w:rsid w:val="00721B44"/>
    <w:rsid w:val="00E74A81"/>
    <w:rsid w:val="07686F8B"/>
    <w:rsid w:val="3897304E"/>
    <w:rsid w:val="42107071"/>
    <w:rsid w:val="5FA1753F"/>
    <w:rsid w:val="6335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</w:pPr>
    <w:rPr>
      <w:rFonts w:asciiTheme="minorHAnsi" w:hAnsiTheme="minorHAnsi" w:eastAsiaTheme="minorEastAsia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1510</Words>
  <Characters>1523</Characters>
  <Lines>1</Lines>
  <Paragraphs>1</Paragraphs>
  <TotalTime>0</TotalTime>
  <ScaleCrop>false</ScaleCrop>
  <LinksUpToDate>false</LinksUpToDate>
  <CharactersWithSpaces>1525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2022-05-13T02:43:00Z</dcterms:created>
  <dc:creator>Windows 用户</dc:creator>
  <cp:lastModifiedBy>张晨</cp:lastModifiedBy>
  <dcterms:modified xsi:type="dcterms:W3CDTF">2022-05-18T02:47:34Z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8232F8D9CFF24D7CBE579FBF0EDFA3F7</vt:lpwstr>
  </property>
</Properties>
</file>