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4480"/>
        </w:tabs>
        <w:spacing w:line="640" w:lineRule="exact"/>
        <w:jc w:val="left"/>
        <w:rPr>
          <w:rFonts w:hint="eastAsia" w:eastAsia="黑体" w:cs="方正小标宋简体"/>
          <w:szCs w:val="32"/>
        </w:rPr>
      </w:pPr>
      <w:r>
        <w:rPr>
          <w:rFonts w:hint="eastAsia" w:eastAsia="黑体" w:cs="方正小标宋简体"/>
          <w:szCs w:val="32"/>
        </w:rPr>
        <w:t>附件1</w:t>
      </w:r>
    </w:p>
    <w:p>
      <w:pPr>
        <w:widowControl/>
        <w:spacing w:line="640" w:lineRule="exact"/>
        <w:jc w:val="center"/>
        <w:rPr>
          <w:rFonts w:hint="eastAsia" w:eastAsia="方正小标宋简体" w:cs="方正小标宋简体"/>
          <w:sz w:val="36"/>
          <w:szCs w:val="36"/>
        </w:rPr>
      </w:pPr>
      <w:r>
        <w:rPr>
          <w:rFonts w:hint="eastAsia" w:eastAsia="方正小标宋简体" w:cs="方正小标宋简体"/>
          <w:color w:val="000000"/>
          <w:sz w:val="36"/>
          <w:szCs w:val="36"/>
          <w:lang w:val="en-US" w:eastAsia="zh-CN"/>
        </w:rPr>
        <w:t>望湖社区</w:t>
      </w:r>
      <w:r>
        <w:rPr>
          <w:rFonts w:hint="eastAsia" w:eastAsia="方正小标宋简体" w:cs="方正小标宋简体"/>
          <w:color w:val="000000"/>
          <w:sz w:val="36"/>
          <w:szCs w:val="36"/>
        </w:rPr>
        <w:t>党组织</w:t>
      </w:r>
      <w:r>
        <w:rPr>
          <w:rFonts w:hint="eastAsia" w:eastAsia="方正小标宋简体" w:cs="方正小标宋简体"/>
          <w:color w:val="000000"/>
          <w:spacing w:val="-6"/>
          <w:sz w:val="36"/>
          <w:szCs w:val="36"/>
        </w:rPr>
        <w:t>落实巡察整改进展清单</w:t>
      </w:r>
    </w:p>
    <w:tbl>
      <w:tblPr>
        <w:tblStyle w:val="6"/>
        <w:tblW w:w="632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370"/>
        <w:gridCol w:w="3169"/>
        <w:gridCol w:w="1560"/>
        <w:gridCol w:w="3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noWrap/>
            <w:vAlign w:val="center"/>
          </w:tcPr>
          <w:p>
            <w:pPr>
              <w:widowControl/>
              <w:jc w:val="center"/>
              <w:rPr>
                <w:rFonts w:eastAsia="黑体" w:cs="宋体"/>
                <w:kern w:val="0"/>
                <w:sz w:val="24"/>
              </w:rPr>
            </w:pPr>
            <w:r>
              <w:rPr>
                <w:rFonts w:hint="eastAsia" w:eastAsia="黑体" w:cs="宋体"/>
                <w:kern w:val="0"/>
                <w:sz w:val="24"/>
              </w:rPr>
              <w:t>序号</w:t>
            </w:r>
          </w:p>
        </w:tc>
        <w:tc>
          <w:tcPr>
            <w:tcW w:w="1370" w:type="dxa"/>
            <w:noWrap/>
            <w:vAlign w:val="center"/>
          </w:tcPr>
          <w:p>
            <w:pPr>
              <w:widowControl/>
              <w:jc w:val="center"/>
              <w:rPr>
                <w:rFonts w:eastAsia="黑体" w:cs="宋体"/>
                <w:kern w:val="0"/>
                <w:sz w:val="24"/>
              </w:rPr>
            </w:pPr>
            <w:r>
              <w:rPr>
                <w:rFonts w:hint="eastAsia" w:eastAsia="黑体" w:cs="宋体"/>
                <w:kern w:val="0"/>
                <w:sz w:val="24"/>
              </w:rPr>
              <w:t>存在问题</w:t>
            </w:r>
          </w:p>
        </w:tc>
        <w:tc>
          <w:tcPr>
            <w:tcW w:w="3169" w:type="dxa"/>
            <w:noWrap/>
            <w:vAlign w:val="center"/>
          </w:tcPr>
          <w:p>
            <w:pPr>
              <w:widowControl/>
              <w:jc w:val="center"/>
              <w:rPr>
                <w:rFonts w:eastAsia="黑体" w:cs="宋体"/>
                <w:kern w:val="0"/>
                <w:sz w:val="24"/>
              </w:rPr>
            </w:pPr>
            <w:r>
              <w:rPr>
                <w:rFonts w:hint="eastAsia" w:eastAsia="黑体" w:cs="宋体"/>
                <w:kern w:val="0"/>
                <w:sz w:val="24"/>
              </w:rPr>
              <w:t>具体表现</w:t>
            </w:r>
          </w:p>
        </w:tc>
        <w:tc>
          <w:tcPr>
            <w:tcW w:w="1560" w:type="dxa"/>
            <w:noWrap/>
            <w:vAlign w:val="center"/>
          </w:tcPr>
          <w:p>
            <w:pPr>
              <w:widowControl/>
              <w:jc w:val="both"/>
              <w:rPr>
                <w:rFonts w:eastAsia="黑体" w:cs="黑体"/>
                <w:sz w:val="24"/>
              </w:rPr>
            </w:pPr>
            <w:r>
              <w:rPr>
                <w:rFonts w:hint="eastAsia" w:eastAsia="黑体" w:cs="黑体"/>
                <w:sz w:val="24"/>
              </w:rPr>
              <w:t>整改进度</w:t>
            </w:r>
          </w:p>
        </w:tc>
        <w:tc>
          <w:tcPr>
            <w:tcW w:w="3923" w:type="dxa"/>
            <w:noWrap/>
            <w:vAlign w:val="center"/>
          </w:tcPr>
          <w:p>
            <w:pPr>
              <w:widowControl/>
              <w:jc w:val="center"/>
              <w:rPr>
                <w:rFonts w:eastAsia="黑体" w:cs="黑体"/>
                <w:sz w:val="24"/>
              </w:rPr>
            </w:pPr>
            <w:r>
              <w:rPr>
                <w:rFonts w:hint="eastAsia" w:eastAsia="黑体" w:cs="黑体"/>
                <w:sz w:val="24"/>
              </w:rPr>
              <w:t>整改成效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70" w:type="dxa"/>
            <w:vMerge w:val="restart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落实巡察整改不到位</w:t>
            </w:r>
          </w:p>
        </w:tc>
        <w:tc>
          <w:tcPr>
            <w:tcW w:w="3169" w:type="dxa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整改责任未压紧压实，仍有部分问题未整改到位。如“三重一大”制度仍未执行到位，内容多为资金使用、项目审核，其他重大事项未纳入议题；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</w:t>
            </w: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整改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3923" w:type="dxa"/>
            <w:vMerge w:val="restart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1、坚决贯彻执行（常新委〔2018〕35号）文件要求，加强资金使用、项目审核等重大事项纳入议题。</w:t>
            </w:r>
          </w:p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2、定期组织两委班子学习“三重一大”事项集体决策制度，并规范记录；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  <w:vMerge w:val="continue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9" w:type="dxa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会议记录不规范，无参会人员讨论过程。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</w:t>
            </w: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整改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3923" w:type="dxa"/>
            <w:vMerge w:val="continue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  <w:jc w:val="center"/>
        </w:trPr>
        <w:tc>
          <w:tcPr>
            <w:tcW w:w="750" w:type="dxa"/>
            <w:vMerge w:val="restart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70" w:type="dxa"/>
            <w:vMerge w:val="restart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社区治理水平不高</w:t>
            </w:r>
          </w:p>
        </w:tc>
        <w:tc>
          <w:tcPr>
            <w:tcW w:w="3169" w:type="dxa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水韵江南别墅区阳光房违章搭建现象突出，屡禁不止，社区与街道相关主管部门联动沟通不足，缺乏切实有效的整治措施。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</w:t>
            </w: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整改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3923" w:type="dxa"/>
            <w:vMerge w:val="restart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1、加强水韵江南别墅区的违建情况巡查，形成巡查记录，发现违建情况及时上报并配合街道主管部门进行处置。</w:t>
            </w:r>
          </w:p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2、联合街道综合执法局对部分烧烤店进行复查，</w:t>
            </w: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督促整改，</w:t>
            </w: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已整改到位，无举报情况发生。加强对武夷山路沿街烧烤店排查</w:t>
            </w: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力度，检查油烟排放过滤设施是否合格，对周边空气质量是否有造成影响。组织店主责任人召开座谈会，并实施公共烟道改造。加强网格化管理，对问题商家进行联合执法并督促整改，做到线上线下双联动</w:t>
            </w: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  <w:vMerge w:val="continue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9" w:type="dxa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“263”专项行动整改不彻底，油烟扰民问题仍然存在。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</w:t>
            </w: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整改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3923" w:type="dxa"/>
            <w:vMerge w:val="continue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50" w:type="dxa"/>
            <w:vMerge w:val="restart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70" w:type="dxa"/>
            <w:vMerge w:val="restart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安全发展理念不牢</w:t>
            </w:r>
          </w:p>
        </w:tc>
        <w:tc>
          <w:tcPr>
            <w:tcW w:w="3169" w:type="dxa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2019年10月滨江明珠城西区发生燃气爆炸事件；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</w:t>
            </w: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整改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3923" w:type="dxa"/>
            <w:vMerge w:val="restart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1、加强安全知识宣传。2、</w:t>
            </w: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定期巡查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飞线情况，及时整顿飞线问题。3、已加装电动车充电桩</w:t>
            </w: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，尽可能满足电动车充电需求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  <w:vMerge w:val="continue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9" w:type="dxa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新景花苑一期发生电动车高空拉线充电火情。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</w:t>
            </w: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整改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3923" w:type="dxa"/>
            <w:vMerge w:val="continue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50" w:type="dxa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攻坚克难担当意识不强</w:t>
            </w:r>
          </w:p>
        </w:tc>
        <w:tc>
          <w:tcPr>
            <w:tcW w:w="3169" w:type="dxa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担当作为责任意识不足，解决“遗留户”问题办法不多，目前尚存3户“遗留户”。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</w:t>
            </w: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整改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3923" w:type="dxa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持续推进遗留户磋商，针对意见不一的地方进行重点洽谈，争取早日完成拆迁。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50" w:type="dxa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落实扫黑除恶专项斗争不力</w:t>
            </w:r>
          </w:p>
        </w:tc>
        <w:tc>
          <w:tcPr>
            <w:tcW w:w="3169" w:type="dxa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扫黑除恶专项斗争排查工作未落实落细，2019年出现涉恶案件。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</w:t>
            </w: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整改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3923" w:type="dxa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积极响应扫黑除恶专项斗争，把扫黑除恶专项斗争落实落细。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50" w:type="dxa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意识形态工作重视不够</w:t>
            </w:r>
          </w:p>
        </w:tc>
        <w:tc>
          <w:tcPr>
            <w:tcW w:w="3169" w:type="dxa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工作方法简单，理论学习不深入，形势分析重形式，查摆问题不具体。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</w:t>
            </w: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整改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3923" w:type="dxa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1、社区</w:t>
            </w: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成立了意识形态工作领导小组，社区党总支书记担任组长，是第一责任人，全面负责意识形态工作的常态化、制度化和科学化，主抓推进、落实、督查等工作。</w:t>
            </w:r>
          </w:p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2、固定学习日，组织党员进行青年大学习。</w:t>
            </w:r>
          </w:p>
          <w:p>
            <w:pPr>
              <w:widowControl/>
              <w:spacing w:line="240" w:lineRule="exact"/>
              <w:jc w:val="both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3、每日督促线上学习强国打卡学习，及时通报沉默学员，采取学习之星评比的形式激发学习的积极性。</w:t>
            </w:r>
          </w:p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50" w:type="dxa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党风廉政建设落实不到位</w:t>
            </w:r>
          </w:p>
        </w:tc>
        <w:tc>
          <w:tcPr>
            <w:tcW w:w="3169" w:type="dxa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全面从严治党主体责任未落实，对党员教育提醒不够，未见相关谈心谈话记录。近3年来，多名党员因赌博、违反中央八项规定精神等原因被批评教育、诫勉谈话。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</w:t>
            </w: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整改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3923" w:type="dxa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1、落实主体责任，加强对党员教育的力度。</w:t>
            </w:r>
          </w:p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2、加强对中央八项规定等相关政策的教育及督促执行。</w:t>
            </w:r>
          </w:p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3、不定期的</w:t>
            </w: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开展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党员同志谈心谈话。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750" w:type="dxa"/>
            <w:vMerge w:val="restart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70" w:type="dxa"/>
            <w:vMerge w:val="restart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财务制度执行不严格</w:t>
            </w:r>
          </w:p>
        </w:tc>
        <w:tc>
          <w:tcPr>
            <w:tcW w:w="3169" w:type="dxa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戴墅合作社重阳节补贴、妇女节慰问费发放无依据；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</w:t>
            </w: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整改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3923" w:type="dxa"/>
            <w:vMerge w:val="restart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1、2022年1月8日戴墅合作社两会已讨论通过不再发放重阳节补贴、妇女节慰问费</w:t>
            </w: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事宜。2、严格执行2018年6月29日制定的《关于新桥镇基层党组织党建活动经费管理办法的通知》，不再发放党员慰问金。3、严格按照街道规定执行关工委薪酬待遇，不再发放老年协会工资。4、严格执行专款专用</w:t>
            </w: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，北部新城特殊附着物补偿款正积极与街道财政部门沟通中。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  <w:vMerge w:val="continue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9" w:type="dxa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党员慰问金发放不规范，标准不统一，无发放依据；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</w:t>
            </w: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整改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3923" w:type="dxa"/>
            <w:vMerge w:val="continue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  <w:vMerge w:val="continue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9" w:type="dxa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老年协会管理不规范，工资发放无依据。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</w:t>
            </w: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整改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3923" w:type="dxa"/>
            <w:vMerge w:val="continue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  <w:vMerge w:val="continue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9" w:type="dxa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专款专用执行不严格。北部新城特殊附着物补偿款应退未退。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正在推进</w:t>
            </w:r>
            <w:bookmarkStart w:id="0" w:name="_GoBack"/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整改</w:t>
            </w:r>
            <w:bookmarkEnd w:id="0"/>
          </w:p>
        </w:tc>
        <w:tc>
          <w:tcPr>
            <w:tcW w:w="3923" w:type="dxa"/>
            <w:vMerge w:val="continue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50" w:type="dxa"/>
            <w:vMerge w:val="restart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70" w:type="dxa"/>
            <w:vMerge w:val="restart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基础党务工作薄弱</w:t>
            </w:r>
          </w:p>
        </w:tc>
        <w:tc>
          <w:tcPr>
            <w:tcW w:w="3169" w:type="dxa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党支部、党小组无独立组织活动记录；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</w:t>
            </w: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整改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3923" w:type="dxa"/>
            <w:vMerge w:val="restart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加强党支部、党小组独立活动的开展。2、组织生活会中严格对照批评与自我批评的相关要求，严肃批评违纪党员。3、2022年1月25日，经请示并经党总支2022年1月29日党员大会上举手表决通过原两个支部划分为5个支部的决定。4、严格按相关程序执行对党员的发展、除名、处分</w:t>
            </w: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  <w:vMerge w:val="continue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9" w:type="dxa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组织生活会批评与自我批评泛泛而谈没有点到具体的人和事，违纪被处理党员在当年的组织生活会中既未说明也未自我批评；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</w:t>
            </w: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整改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3923" w:type="dxa"/>
            <w:vMerge w:val="continue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  <w:vMerge w:val="continue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9" w:type="dxa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支部党员人数众多，不利于党员教育管理。存在党员发展、除名、处分未经支部党员大会讨论的情况。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</w:t>
            </w: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整改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3923" w:type="dxa"/>
            <w:vMerge w:val="continue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pacing w:line="240" w:lineRule="exact"/>
        <w:jc w:val="both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xMGUxZDE4ZDZjNGJkYzg1NjdkYWE5NzU5NzViNjkifQ=="/>
  </w:docVars>
  <w:rsids>
    <w:rsidRoot w:val="00E74A81"/>
    <w:rsid w:val="00721B44"/>
    <w:rsid w:val="00E74A81"/>
    <w:rsid w:val="086F18E2"/>
    <w:rsid w:val="18996FCE"/>
    <w:rsid w:val="7AB8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szCs w:val="24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3"/>
    <w:qFormat/>
    <w:uiPriority w:val="9"/>
    <w:rPr>
      <w:rFonts w:ascii="Times New Roman" w:hAnsi="Times New Roman" w:eastAsia="仿宋_GB2312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1644</Words>
  <Characters>1672</Characters>
  <Lines>1</Lines>
  <Paragraphs>1</Paragraphs>
  <TotalTime>0</TotalTime>
  <ScaleCrop>false</ScaleCrop>
  <LinksUpToDate>false</LinksUpToDate>
  <CharactersWithSpaces>1672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2022-05-13T02:43:00Z</dcterms:created>
  <dc:creator>Windows 用户</dc:creator>
  <cp:lastModifiedBy>一杯豆浆</cp:lastModifiedBy>
  <dcterms:modified xsi:type="dcterms:W3CDTF">2022-05-16T05:36:29Z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91337357112A42DCAB54CB98827D6D34</vt:lpwstr>
  </property>
</Properties>
</file>