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B5" w:rsidRDefault="008D23BC" w:rsidP="00967E79">
      <w:pPr>
        <w:pStyle w:val="1"/>
        <w:spacing w:afterLines="5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附件12：</w:t>
      </w:r>
    </w:p>
    <w:p w:rsidR="002D18B5" w:rsidRDefault="008D23BC" w:rsidP="00967E79">
      <w:pPr>
        <w:pStyle w:val="1"/>
        <w:spacing w:afterLines="50"/>
        <w:ind w:firstLineChars="200" w:firstLine="720"/>
        <w:rPr>
          <w:rFonts w:ascii="方正小标宋简体"/>
          <w:szCs w:val="36"/>
        </w:rPr>
      </w:pPr>
      <w:r>
        <w:rPr>
          <w:rFonts w:ascii="方正小标宋简体" w:hint="eastAsia"/>
          <w:szCs w:val="36"/>
        </w:rPr>
        <w:t>锦海社区党组织巡察整改落实情况汇总表</w:t>
      </w:r>
    </w:p>
    <w:tbl>
      <w:tblPr>
        <w:tblpPr w:leftFromText="180" w:rightFromText="180" w:vertAnchor="text" w:horzAnchor="page" w:tblpX="1754" w:tblpY="77"/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5460"/>
        <w:gridCol w:w="7180"/>
      </w:tblGrid>
      <w:tr w:rsidR="00967E79" w:rsidTr="00967E79">
        <w:trPr>
          <w:trHeight w:val="661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9" w:rsidRDefault="00967E79">
            <w:pPr>
              <w:pStyle w:val="a5"/>
              <w:spacing w:line="560" w:lineRule="exact"/>
              <w:rPr>
                <w:rFonts w:ascii="黑体" w:hAnsi="黑体"/>
              </w:rPr>
            </w:pPr>
            <w:r>
              <w:rPr>
                <w:rFonts w:ascii="黑体" w:hAnsi="黑体" w:hint="eastAsia"/>
              </w:rPr>
              <w:t>序号</w:t>
            </w: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9" w:rsidRDefault="00967E79">
            <w:pPr>
              <w:pStyle w:val="a5"/>
              <w:spacing w:line="560" w:lineRule="exact"/>
              <w:rPr>
                <w:rFonts w:ascii="黑体" w:hAnsi="黑体"/>
              </w:rPr>
            </w:pPr>
            <w:r>
              <w:rPr>
                <w:rFonts w:ascii="黑体" w:hAnsi="黑体" w:hint="eastAsia"/>
              </w:rPr>
              <w:t>反馈问题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9" w:rsidRDefault="00967E79">
            <w:pPr>
              <w:pStyle w:val="a5"/>
              <w:spacing w:line="560" w:lineRule="exact"/>
              <w:rPr>
                <w:rFonts w:ascii="黑体" w:hAnsi="黑体"/>
              </w:rPr>
            </w:pPr>
            <w:r>
              <w:rPr>
                <w:rFonts w:ascii="黑体" w:hAnsi="黑体" w:hint="eastAsia"/>
              </w:rPr>
              <w:t>整改成效</w:t>
            </w:r>
          </w:p>
        </w:tc>
      </w:tr>
      <w:tr w:rsidR="00967E79" w:rsidTr="00967E79">
        <w:trPr>
          <w:trHeight w:val="723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9" w:rsidRDefault="00967E79">
            <w:pPr>
              <w:spacing w:line="420" w:lineRule="exact"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9" w:rsidRDefault="00967E79">
            <w:pPr>
              <w:spacing w:line="420" w:lineRule="exact"/>
              <w:jc w:val="lef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（1）落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实绿色发展理念有差距。“263”专项行动巡查监管力度不足，嫩江河河道污染问题2016年被重复举报累计达15次，纯麦KTV噪音扰民问题2017年被重复举报3次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。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9" w:rsidRDefault="00967E79">
            <w:pPr>
              <w:spacing w:line="420" w:lineRule="exact"/>
              <w:jc w:val="lef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一是结合社区工作例会，于9月19日、10月15日、11月12日三次组织深入学习中央关于绿色发展理念。二是2018年1月底完成锦海社区（锦海商业街、锦海一二期、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西瑶苑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、西阆苑）雨污分流改造，嫩江河水质已彻底改善。三是3月初在党员、楼道长会议中明确提出参与发现环境污染问题根源的激励机制，让身边热心人共同参与创建绿色和谐社区。四是通过三次联合执法，杜绝了KTV噪音扰民问题；五是通过创建节水型社区，加大节水环保宣传力度，在群众中强化环保和绿色发展的理念。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 w:rsidR="00967E79" w:rsidTr="00967E79">
        <w:trPr>
          <w:trHeight w:val="666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9" w:rsidRDefault="00967E79">
            <w:pPr>
              <w:spacing w:line="420" w:lineRule="exact"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9" w:rsidRDefault="00967E79">
            <w:pPr>
              <w:spacing w:line="420" w:lineRule="exact"/>
              <w:jc w:val="lef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（2）民主集中制执行不到位。对“三重一大”制度认识理解不清，台</w:t>
            </w:r>
            <w:proofErr w:type="gramStart"/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账记录</w:t>
            </w:r>
            <w:proofErr w:type="gramEnd"/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未见民主讨论过程。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9" w:rsidRDefault="00967E79">
            <w:pPr>
              <w:spacing w:line="420" w:lineRule="exact"/>
              <w:jc w:val="lef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一是社区全体人员9月21日再一次学习“三重一大”事项集体决策制度，明确了社区“三重一大”议事范围、具体内容和民主决策程序。二是有涉及 “三重一大”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  <w:szCs w:val="24"/>
              </w:rPr>
              <w:t>集体决策的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事项台账记录按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规范记录完整。</w:t>
            </w:r>
          </w:p>
        </w:tc>
      </w:tr>
      <w:tr w:rsidR="00967E79" w:rsidTr="00967E79">
        <w:trPr>
          <w:trHeight w:val="636"/>
        </w:trPr>
        <w:tc>
          <w:tcPr>
            <w:tcW w:w="2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9" w:rsidRDefault="00967E79">
            <w:pPr>
              <w:spacing w:line="420" w:lineRule="exact"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9" w:rsidRDefault="00967E79">
            <w:pPr>
              <w:spacing w:line="420" w:lineRule="exact"/>
              <w:jc w:val="lef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（3）理论学习不深不透。书记上党课流于形式，班子成员主动学习意识不强、系统性学习不够。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9" w:rsidRDefault="00967E79">
            <w:pPr>
              <w:spacing w:line="420" w:lineRule="exact"/>
              <w:jc w:val="lef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一是书记主动带领班子每月一次系统性理论学习镇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宣统办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下发的学习材料，深刻领会十九大精神、党风廉政建设相关要求以及关于意识形态的重大部署。二是每季度一次党员大会学习党风廉政相关内容，今年6月份已开展读书心得交流活动，展开探讨、提升成效。</w:t>
            </w:r>
          </w:p>
        </w:tc>
      </w:tr>
      <w:tr w:rsidR="00967E79" w:rsidTr="00967E79">
        <w:trPr>
          <w:trHeight w:val="636"/>
        </w:trPr>
        <w:tc>
          <w:tcPr>
            <w:tcW w:w="2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9" w:rsidRDefault="00967E79">
            <w:pPr>
              <w:spacing w:line="420" w:lineRule="exact"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9" w:rsidRDefault="00967E79">
            <w:pPr>
              <w:spacing w:line="420" w:lineRule="exact"/>
              <w:jc w:val="lef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（4）理论联系实际不紧。社区管理思路不宽，引导居民适应社区生活举措不多，对居民与物业矛盾纠纷、无名路乱停车、步行街卫生管理不到位等问题缺乏行之有效的解决方案。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9" w:rsidRDefault="00967E79" w:rsidP="000E0E76">
            <w:pPr>
              <w:spacing w:line="420" w:lineRule="exact"/>
              <w:jc w:val="lef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一是8月份正式运行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网格员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管理模式，解决了一大批居民身边的大小问题。二是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加强社区对物业的监督，发挥好党群议事堂对居民和物业矛盾纠纷的调处作用。党群议事堂已于7月开门议事，并由专人进行接待。5个月以来大型议事活动举办2场次，调解社区重大矛盾5项。</w:t>
            </w:r>
            <w:r>
              <w:rPr>
                <w:rFonts w:ascii="仿宋_GB2312" w:eastAsia="仿宋_GB2312" w:hint="eastAsia"/>
                <w:sz w:val="24"/>
                <w:szCs w:val="24"/>
              </w:rPr>
              <w:t>锦海步行街卫生问题已督促锦绣物业公司列出整改计划，按步骤实施。三是发挥“党员便民岗”作用拓展宣传阵地，今年已开展宣传活动22次，通过服务居民的活动，让党员切实起到“亮身份 树形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象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做表率”的作用。</w:t>
            </w:r>
          </w:p>
        </w:tc>
      </w:tr>
      <w:tr w:rsidR="00967E79" w:rsidTr="00967E79">
        <w:trPr>
          <w:trHeight w:val="636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9" w:rsidRDefault="00967E79">
            <w:pPr>
              <w:spacing w:line="420" w:lineRule="exact"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9" w:rsidRDefault="00967E79">
            <w:pPr>
              <w:spacing w:line="420" w:lineRule="exact"/>
              <w:jc w:val="lef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（5）党支部未专题研究意识形态工作，未进行工作布置。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9" w:rsidRDefault="00967E79">
            <w:pPr>
              <w:spacing w:line="420" w:lineRule="exact"/>
              <w:jc w:val="lef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一是党支部5月24日、11月24日已两次召开学习关于意识形态领域的相关理论，研究了做好社区意识形态领域工作的具体举措。二是在全体党员、居民中开展意识形态领域宣传工作，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用小区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宣传栏、显示屏展示社会主义核心价值观、常州好人，身边典型等。三是结合网格化工作，不定期排查辖区范围内是否存在非法宗教组织。</w:t>
            </w:r>
          </w:p>
        </w:tc>
      </w:tr>
      <w:tr w:rsidR="00967E79" w:rsidTr="00967E79">
        <w:trPr>
          <w:trHeight w:val="846"/>
        </w:trPr>
        <w:tc>
          <w:tcPr>
            <w:tcW w:w="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9" w:rsidRDefault="00967E79">
            <w:pPr>
              <w:spacing w:line="420" w:lineRule="exact"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9" w:rsidRDefault="00967E79">
            <w:pPr>
              <w:spacing w:line="420" w:lineRule="exact"/>
              <w:jc w:val="lef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（6）党建工作重视不够。党费收缴不规范，存在预收现象；党员管理不力，有2名党员自组织关系转入社区后从未参加组织活动。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9" w:rsidRDefault="00967E79" w:rsidP="00250501">
            <w:pPr>
              <w:spacing w:line="420" w:lineRule="exact"/>
              <w:jc w:val="lef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是规范党费收缴，党员按月缴纳党费，支部按季度上交党费。二是多次与2名自组织关系转入社区后从未露面的党员联系未果，已将相关情况向上级党组织进行报告，按规定程序进行处理。三是年初推行党员积分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制考核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办法，按照党员出勤率和参与支部活动的积极性量化考核。</w:t>
            </w:r>
          </w:p>
        </w:tc>
      </w:tr>
      <w:tr w:rsidR="00967E79" w:rsidTr="00967E79">
        <w:trPr>
          <w:trHeight w:val="1506"/>
        </w:trPr>
        <w:tc>
          <w:tcPr>
            <w:tcW w:w="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9" w:rsidRDefault="00967E79">
            <w:pPr>
              <w:spacing w:line="42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9" w:rsidRDefault="00967E79">
            <w:pPr>
              <w:spacing w:line="420" w:lineRule="exact"/>
              <w:jc w:val="lef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（7）党员活动经费使用不当。2017年</w:t>
            </w:r>
            <w:r>
              <w:rPr>
                <w:rStyle w:val="font81"/>
                <w:rFonts w:hint="default"/>
                <w:bCs/>
                <w:sz w:val="24"/>
                <w:szCs w:val="24"/>
              </w:rPr>
              <w:t>以每人每年500元标准发放慰问费至社区干部中的党员。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9" w:rsidRDefault="00967E79">
            <w:pPr>
              <w:spacing w:line="420" w:lineRule="exact"/>
              <w:jc w:val="lef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严格按照党委文件精神规范党员活动经费使用。在11月24日召开的党员四季度会议上，已向党员公开2018年党建活动经费使用情况。</w:t>
            </w:r>
          </w:p>
        </w:tc>
      </w:tr>
      <w:tr w:rsidR="00967E79" w:rsidTr="00967E79">
        <w:trPr>
          <w:trHeight w:val="2516"/>
        </w:trPr>
        <w:tc>
          <w:tcPr>
            <w:tcW w:w="21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E79" w:rsidRDefault="00967E79">
            <w:pPr>
              <w:spacing w:line="420" w:lineRule="exact"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9" w:rsidRDefault="00967E79">
            <w:pPr>
              <w:spacing w:line="420" w:lineRule="exact"/>
              <w:jc w:val="lef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（8）工作作风不严不实。联系群众不紧，社区未建立党群服务大厅，居民办事不便；社区无健身广场，不能满足居民需求；居民私拉电线充电，安全隐患大。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9" w:rsidRDefault="00967E79">
            <w:pPr>
              <w:spacing w:line="420" w:lineRule="exact"/>
              <w:jc w:val="lef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是党群服务大厅建设9月份完成清场，10月份已完成装修设计，11月中旬已完成招标流程，11月25日装修工程已进场施工，预计2019年1月底可完成施工。二是积极引导居民去望湖健身广场活动，今年3月协调锦海一期10幢南侧移栽树木，场地平整后已为小区居民提供约200平米的活动场所，并且在即将开工建设的新景五期与二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小之间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对居民活动场所已做了相关规划，届时可满足居民健身活动需求。三是利用党员便民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岗宣传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引导居民认识私拉电线充电的危害，自觉做到安全用电。督促物业公司完善自助充电设施安装，为居民提供更大便利。</w:t>
            </w:r>
          </w:p>
        </w:tc>
      </w:tr>
      <w:tr w:rsidR="00967E79" w:rsidTr="00967E79">
        <w:trPr>
          <w:trHeight w:val="749"/>
        </w:trPr>
        <w:tc>
          <w:tcPr>
            <w:tcW w:w="21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E79" w:rsidRDefault="00967E79">
            <w:pPr>
              <w:spacing w:line="420" w:lineRule="exact"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9" w:rsidRDefault="00967E79">
            <w:pPr>
              <w:spacing w:line="420" w:lineRule="exact"/>
              <w:jc w:val="lef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（9）勤俭节约意识不强。2017年2月购置6人6套办公桌椅共计6.66万元，人均1.11万元，超过镇有关文件规定的人均购置标准。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9" w:rsidRDefault="00967E79" w:rsidP="00250501">
            <w:pPr>
              <w:spacing w:line="420" w:lineRule="exact"/>
              <w:jc w:val="lef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树立勤俭节约意识，严格按照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镇文件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规定购置办公家具家电。对不列入政府招标采购的商品均按“三重一大”事项流程，由集体讨论,详实记录，做到民主决策、依纪依规。</w:t>
            </w:r>
          </w:p>
        </w:tc>
      </w:tr>
      <w:tr w:rsidR="00967E79" w:rsidTr="00967E79">
        <w:trPr>
          <w:trHeight w:val="648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9" w:rsidRDefault="00967E79">
            <w:pPr>
              <w:spacing w:line="420" w:lineRule="exact"/>
              <w:jc w:val="center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9" w:rsidRDefault="00967E79">
            <w:pPr>
              <w:spacing w:line="420" w:lineRule="exact"/>
              <w:jc w:val="lef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（10）纪检委员对工作职责认识不清，未见履职记录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9" w:rsidRDefault="00967E79">
            <w:pPr>
              <w:spacing w:line="420" w:lineRule="exact"/>
              <w:jc w:val="lef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一是纪检委员加强自身学习，定期学习纪检网站有关条例，明确工作职责和工作要求，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加强对党员日常教育、谈心谈话监督工作，完善履职记录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。二是在9月20日支委会上，由纪检委员组织学习了《中国共产党纪律处分条例》，强化纪律意识。三是对不经常参加党员活动的党员制定谈话方案，及时约谈，加强日常教育和党内监督。</w:t>
            </w:r>
          </w:p>
        </w:tc>
      </w:tr>
    </w:tbl>
    <w:p w:rsidR="002D18B5" w:rsidRDefault="002D18B5"/>
    <w:p w:rsidR="002D18B5" w:rsidRDefault="002D18B5">
      <w:pPr>
        <w:spacing w:line="560" w:lineRule="exact"/>
        <w:jc w:val="left"/>
      </w:pPr>
    </w:p>
    <w:p w:rsidR="002D18B5" w:rsidRDefault="002D18B5"/>
    <w:sectPr w:rsidR="002D18B5" w:rsidSect="002D18B5">
      <w:footerReference w:type="default" r:id="rId7"/>
      <w:pgSz w:w="16783" w:h="23757"/>
      <w:pgMar w:top="1440" w:right="1800" w:bottom="1440" w:left="1800" w:header="850" w:footer="992" w:gutter="0"/>
      <w:cols w:space="72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77F" w:rsidRDefault="002B777F" w:rsidP="002D18B5">
      <w:r>
        <w:separator/>
      </w:r>
    </w:p>
  </w:endnote>
  <w:endnote w:type="continuationSeparator" w:id="0">
    <w:p w:rsidR="002B777F" w:rsidRDefault="002B777F" w:rsidP="002D1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B5" w:rsidRDefault="004E44B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UNJlrwBAABlAwAADgAAAGRycy9lMm9Eb2MueG1srVNNrtMwEN4jcQfL&#10;e5q00kMlavoEenoICQHSgwO4jt1Ysj2Wx23SC8ANWLFhz7l6DsZu0sfPDrGZzJ+/mW9msrkdnWVH&#10;FdGAb/lyUXOmvITO+H3LP328f7bmDJPwnbDgVctPCvnt9umTzRAatYIebKciIxCPzRBa3qcUmqpC&#10;2SsncAFBeQpqiE4kMuO+6qIYCN3ZalXXz6sBYhciSIVI3rtLkG8LvtZKpvdao0rMtpx6S0XGIndZ&#10;VtuNaPZRhN7IqQ3xD104YTwVvULdiSTYIZq/oJyRERB0WkhwFWhtpCociM2y/oPNQy+CKlxoOBiu&#10;Y8L/ByvfHT9EZjraHWdeOFrR+euX87cf5++f2bJe3eQJDQEbSnwIlJrGVzDm7MmP5MzERx1d/hIl&#10;RnGa9ek6XzUmJvOj9Wq9rikkKTYbhFM9Pg8R02sFjmWl5ZEWWOYqjm8xXVLnlFzNw72xlvyisZ4N&#10;LX9xQy3/FiFw67NHlXOYYDKlS+tZS+NunPjsoDsRzYFOouWebpYz+8bTxPP1zEqcld2sHEI0+76c&#10;V66F4eUhUW+l5VzhAktUs0G7LKSnu8vH8qtdsh7/ju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ElDSZa8AQAAZQMAAA4AAAAAAAAAAQAgAAAAHgEAAGRycy9lMm9Eb2MueG1sUEsFBgAAAAAG&#10;AAYAWQEAAEwFAAAAAA==&#10;" filled="f" stroked="f">
          <v:textbox style="mso-fit-shape-to-text:t" inset="0,0,0,0">
            <w:txbxContent>
              <w:p w:rsidR="002D18B5" w:rsidRDefault="002D18B5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77F" w:rsidRDefault="002B777F" w:rsidP="002D18B5">
      <w:r>
        <w:separator/>
      </w:r>
    </w:p>
  </w:footnote>
  <w:footnote w:type="continuationSeparator" w:id="0">
    <w:p w:rsidR="002B777F" w:rsidRDefault="002B777F" w:rsidP="002D1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7C683D2C"/>
    <w:rsid w:val="000E0E76"/>
    <w:rsid w:val="00143480"/>
    <w:rsid w:val="001513CD"/>
    <w:rsid w:val="00155628"/>
    <w:rsid w:val="001B7EAB"/>
    <w:rsid w:val="001F4ECD"/>
    <w:rsid w:val="00212DBB"/>
    <w:rsid w:val="00250501"/>
    <w:rsid w:val="002B777F"/>
    <w:rsid w:val="002D18B5"/>
    <w:rsid w:val="003007CC"/>
    <w:rsid w:val="0030252C"/>
    <w:rsid w:val="00363B56"/>
    <w:rsid w:val="004E44BD"/>
    <w:rsid w:val="006017B7"/>
    <w:rsid w:val="006B7204"/>
    <w:rsid w:val="006F75D0"/>
    <w:rsid w:val="00700EBD"/>
    <w:rsid w:val="0072201A"/>
    <w:rsid w:val="007330E4"/>
    <w:rsid w:val="007F651F"/>
    <w:rsid w:val="00860C2D"/>
    <w:rsid w:val="008B04F7"/>
    <w:rsid w:val="008D23BC"/>
    <w:rsid w:val="00967E79"/>
    <w:rsid w:val="00A7068E"/>
    <w:rsid w:val="00B00300"/>
    <w:rsid w:val="00C717F0"/>
    <w:rsid w:val="00D01F9B"/>
    <w:rsid w:val="00E66A6A"/>
    <w:rsid w:val="0A7262C9"/>
    <w:rsid w:val="119D6B26"/>
    <w:rsid w:val="162C40C3"/>
    <w:rsid w:val="259A0D99"/>
    <w:rsid w:val="268F77DC"/>
    <w:rsid w:val="278A6D21"/>
    <w:rsid w:val="296F053A"/>
    <w:rsid w:val="2A575A80"/>
    <w:rsid w:val="34341D35"/>
    <w:rsid w:val="344B7175"/>
    <w:rsid w:val="394C3725"/>
    <w:rsid w:val="3A24539B"/>
    <w:rsid w:val="3D441EE5"/>
    <w:rsid w:val="3E1659EF"/>
    <w:rsid w:val="41634FB1"/>
    <w:rsid w:val="4C5C5A84"/>
    <w:rsid w:val="505E12C2"/>
    <w:rsid w:val="5100120A"/>
    <w:rsid w:val="549C5EEE"/>
    <w:rsid w:val="60050C7E"/>
    <w:rsid w:val="61632177"/>
    <w:rsid w:val="6593120A"/>
    <w:rsid w:val="67C73982"/>
    <w:rsid w:val="67F57C93"/>
    <w:rsid w:val="6873341B"/>
    <w:rsid w:val="6C2D19FF"/>
    <w:rsid w:val="6D535020"/>
    <w:rsid w:val="72411AA5"/>
    <w:rsid w:val="782B36E5"/>
    <w:rsid w:val="7C683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8B5"/>
    <w:pPr>
      <w:jc w:val="both"/>
    </w:pPr>
    <w:rPr>
      <w:rFonts w:ascii="宋体" w:eastAsia="宋体" w:hAnsi="宋体"/>
      <w:sz w:val="21"/>
      <w:szCs w:val="21"/>
    </w:rPr>
  </w:style>
  <w:style w:type="paragraph" w:styleId="1">
    <w:name w:val="heading 1"/>
    <w:basedOn w:val="a"/>
    <w:next w:val="a"/>
    <w:uiPriority w:val="9"/>
    <w:qFormat/>
    <w:rsid w:val="002D18B5"/>
    <w:pPr>
      <w:keepNext/>
      <w:keepLines/>
      <w:widowControl w:val="0"/>
      <w:spacing w:line="560" w:lineRule="exact"/>
      <w:jc w:val="center"/>
      <w:outlineLvl w:val="0"/>
    </w:pPr>
    <w:rPr>
      <w:rFonts w:asciiTheme="minorHAnsi" w:eastAsia="方正小标宋简体" w:hAnsiTheme="minorHAnsi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D1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D1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uiPriority w:val="11"/>
    <w:qFormat/>
    <w:rsid w:val="002D18B5"/>
    <w:pPr>
      <w:widowControl w:val="0"/>
      <w:spacing w:line="312" w:lineRule="auto"/>
      <w:jc w:val="center"/>
      <w:outlineLvl w:val="1"/>
    </w:pPr>
    <w:rPr>
      <w:rFonts w:ascii="Cambria" w:eastAsia="黑体" w:hAnsi="Cambria" w:cs="Times New Roman"/>
      <w:bCs/>
      <w:kern w:val="28"/>
      <w:sz w:val="28"/>
      <w:szCs w:val="32"/>
    </w:rPr>
  </w:style>
  <w:style w:type="character" w:customStyle="1" w:styleId="10">
    <w:name w:val="不明显强调1"/>
    <w:basedOn w:val="a0"/>
    <w:uiPriority w:val="19"/>
    <w:qFormat/>
    <w:rsid w:val="002D18B5"/>
    <w:rPr>
      <w:rFonts w:eastAsia="黑体"/>
      <w:iCs/>
      <w:color w:val="404040" w:themeColor="text1" w:themeTint="BF"/>
      <w:sz w:val="28"/>
    </w:rPr>
  </w:style>
  <w:style w:type="character" w:customStyle="1" w:styleId="font81">
    <w:name w:val="font81"/>
    <w:basedOn w:val="a0"/>
    <w:qFormat/>
    <w:rsid w:val="002D18B5"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Char0">
    <w:name w:val="页眉 Char"/>
    <w:basedOn w:val="a0"/>
    <w:link w:val="a4"/>
    <w:qFormat/>
    <w:rsid w:val="002D18B5"/>
    <w:rPr>
      <w:rFonts w:ascii="宋体" w:hAnsi="宋体" w:cstheme="minorBidi"/>
      <w:sz w:val="18"/>
      <w:szCs w:val="18"/>
    </w:rPr>
  </w:style>
  <w:style w:type="character" w:customStyle="1" w:styleId="Char">
    <w:name w:val="页脚 Char"/>
    <w:basedOn w:val="a0"/>
    <w:link w:val="a3"/>
    <w:qFormat/>
    <w:rsid w:val="002D18B5"/>
    <w:rPr>
      <w:rFonts w:ascii="宋体" w:hAnsi="宋体" w:cstheme="minorBidi"/>
      <w:sz w:val="18"/>
      <w:szCs w:val="18"/>
    </w:rPr>
  </w:style>
  <w:style w:type="paragraph" w:customStyle="1" w:styleId="11">
    <w:name w:val="列出段落1"/>
    <w:basedOn w:val="a"/>
    <w:uiPriority w:val="34"/>
    <w:qFormat/>
    <w:rsid w:val="002D18B5"/>
    <w:pPr>
      <w:widowControl w:val="0"/>
      <w:ind w:firstLineChars="200" w:firstLine="420"/>
    </w:pPr>
    <w:rPr>
      <w:rFonts w:ascii="Calibri" w:hAnsi="Calibri"/>
      <w:kern w:val="2"/>
      <w:szCs w:val="22"/>
    </w:rPr>
  </w:style>
  <w:style w:type="character" w:customStyle="1" w:styleId="2">
    <w:name w:val="不明显强调2"/>
    <w:basedOn w:val="a0"/>
    <w:uiPriority w:val="19"/>
    <w:qFormat/>
    <w:rsid w:val="002D18B5"/>
    <w:rPr>
      <w:rFonts w:eastAsia="黑体"/>
      <w:iCs/>
      <w:color w:val="404040" w:themeColor="text1" w:themeTint="B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10</TotalTime>
  <Pages>2</Pages>
  <Words>310</Words>
  <Characters>1772</Characters>
  <Application>Microsoft Office Word</Application>
  <DocSecurity>0</DocSecurity>
  <Lines>14</Lines>
  <Paragraphs>4</Paragraphs>
  <ScaleCrop>false</ScaleCrop>
  <Company>MS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13</cp:revision>
  <cp:lastPrinted>2018-12-11T03:31:00Z</cp:lastPrinted>
  <dcterms:created xsi:type="dcterms:W3CDTF">2018-10-22T02:17:00Z</dcterms:created>
  <dcterms:modified xsi:type="dcterms:W3CDTF">2018-12-12T03:16:00Z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