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8E" w:rsidRDefault="00AF794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附件10：</w:t>
      </w:r>
    </w:p>
    <w:p w:rsidR="00407F8E" w:rsidRDefault="00AF794F" w:rsidP="00C7548E">
      <w:pPr>
        <w:pStyle w:val="1"/>
        <w:spacing w:afterLines="50"/>
        <w:ind w:firstLineChars="200" w:firstLine="720"/>
        <w:rPr>
          <w:rFonts w:ascii="方正小标宋简体"/>
          <w:szCs w:val="36"/>
        </w:rPr>
      </w:pPr>
      <w:r>
        <w:rPr>
          <w:rFonts w:ascii="方正小标宋简体" w:hint="eastAsia"/>
          <w:szCs w:val="36"/>
        </w:rPr>
        <w:t>望湖社区党组织巡察整改落实情况汇总表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09"/>
        <w:gridCol w:w="5963"/>
        <w:gridCol w:w="6927"/>
      </w:tblGrid>
      <w:tr w:rsidR="00C7548E" w:rsidTr="00C7548E">
        <w:trPr>
          <w:trHeight w:val="639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pStyle w:val="a5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pStyle w:val="a5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hint="eastAsia"/>
              </w:rPr>
              <w:t>反馈问题</w:t>
            </w:r>
          </w:p>
        </w:tc>
        <w:tc>
          <w:tcPr>
            <w:tcW w:w="2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pStyle w:val="a5"/>
              <w:spacing w:line="360" w:lineRule="exact"/>
            </w:pPr>
            <w:r>
              <w:rPr>
                <w:rFonts w:hint="eastAsia"/>
              </w:rPr>
              <w:t>整改成效</w:t>
            </w:r>
          </w:p>
        </w:tc>
      </w:tr>
      <w:tr w:rsidR="00C7548E" w:rsidTr="00C7548E">
        <w:trPr>
          <w:trHeight w:val="678"/>
          <w:jc w:val="center"/>
        </w:trPr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spacing w:line="38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1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pStyle w:val="a7"/>
              <w:widowControl/>
              <w:spacing w:line="38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（1）精准扶贫对象入口把关不严。2016年在精准扶贫申报低收入户对象过程中，未全面统计年终分配、社保、涉农补贴等收入，导致低收入户收入情况与实际不符</w:t>
            </w:r>
          </w:p>
        </w:tc>
        <w:tc>
          <w:tcPr>
            <w:tcW w:w="2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pStyle w:val="a7"/>
              <w:widowControl/>
              <w:spacing w:line="38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2018年11月已填写脱贫户信息采集表以及收入明细表，严格按照精准扶贫文件要求核算其收入，全面核实脱贫户的家庭情况。</w:t>
            </w:r>
          </w:p>
        </w:tc>
      </w:tr>
      <w:tr w:rsidR="00C7548E" w:rsidTr="00C7548E">
        <w:trPr>
          <w:trHeight w:val="929"/>
          <w:jc w:val="center"/>
        </w:trPr>
        <w:tc>
          <w:tcPr>
            <w:tcW w:w="190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pStyle w:val="a7"/>
              <w:widowControl/>
              <w:spacing w:line="38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（2）落实绿色发展理念有差距。 “263”专项行动落实不彻底，居民小区油烟问题时有发生，朱记烧烤油烟扰民问题连续三年被重复举报29次。</w:t>
            </w:r>
          </w:p>
        </w:tc>
        <w:tc>
          <w:tcPr>
            <w:tcW w:w="2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pStyle w:val="a7"/>
              <w:widowControl/>
              <w:spacing w:line="360" w:lineRule="exact"/>
              <w:ind w:firstLineChars="0" w:firstLine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一是联合镇环保办、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长效办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对朱记烧烤进行专项整治，6月21日对朱记烧烤进行复查，督促整改。9月29日再次进行复查，已整改到位，无举报情况发生。二是加强对武夷山路沿街烧烤店排查力度，检查油烟排放过滤设施是否合格，对周边空气质量是否有造成影响。保持对环境监管的高压态势，严防死守环境生态红线。三是加强网格化管理。11月13日，社区网格工作人员发现辖区内有商家有油烟扰民问题，通过网格化管理手机app，将问题上报镇环保办，对问题商家进行联合执法并督促整改，做到线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上线下双联动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。</w:t>
            </w:r>
          </w:p>
        </w:tc>
      </w:tr>
      <w:tr w:rsidR="00C7548E" w:rsidTr="00C7548E">
        <w:trPr>
          <w:trHeight w:val="476"/>
          <w:jc w:val="center"/>
        </w:trPr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spacing w:line="38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2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pStyle w:val="a7"/>
              <w:widowControl/>
              <w:spacing w:line="38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（3）组织生活会制度落实不严。组织生活会“变味”，2016年组织生活会变成感悟会，2015、2017年度组织生活会对个别人的批评变成了表扬。</w:t>
            </w:r>
          </w:p>
        </w:tc>
        <w:tc>
          <w:tcPr>
            <w:tcW w:w="2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pStyle w:val="a7"/>
              <w:widowControl/>
              <w:spacing w:line="38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一是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组织学习，11月3日党总支支委会议组织学习组织生活会制度，11月4日新景支部及清水湾支部支委会学习组织生活会制度。</w:t>
            </w: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二是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严格执行组织生活制度，11月24日召开巡察整改专题组织生活会，专题针对整改反馈报告，开展批评与自我批评，见人见事，认领问题，落实整改责任。</w:t>
            </w:r>
          </w:p>
        </w:tc>
      </w:tr>
      <w:tr w:rsidR="00C7548E" w:rsidTr="00C7548E">
        <w:trPr>
          <w:trHeight w:val="1023"/>
          <w:jc w:val="center"/>
        </w:trPr>
        <w:tc>
          <w:tcPr>
            <w:tcW w:w="190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spacing w:line="38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pStyle w:val="a7"/>
              <w:widowControl/>
              <w:spacing w:line="38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（4）“三会一课”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制度执行不到位。台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账记录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后补现象突出，部分年度支委会会议、党课教育次数不足，如2015、2016年党课分别仅为2次和3次。</w:t>
            </w:r>
          </w:p>
        </w:tc>
        <w:tc>
          <w:tcPr>
            <w:tcW w:w="2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pStyle w:val="a7"/>
              <w:widowControl/>
              <w:spacing w:line="380" w:lineRule="exact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一是今年年初制定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了“三会一课”制度实施方案，按照要求开展“三会一课”，支部大会一季度一次，支委会每月一次，党小组会每月一次，党课一季度一次，专人负责党总支台帐及《党支部工作一本通》记录。</w:t>
            </w: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二是2018年7月起创立社区党员</w:t>
            </w:r>
            <w:proofErr w:type="gramStart"/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微信群</w:t>
            </w:r>
            <w:proofErr w:type="gramEnd"/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，10月起不定期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将学习内容电子版发放在党员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微信群方便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党员及时学习。</w:t>
            </w:r>
          </w:p>
        </w:tc>
      </w:tr>
      <w:tr w:rsidR="00C7548E" w:rsidTr="00C7548E">
        <w:trPr>
          <w:trHeight w:val="90"/>
          <w:jc w:val="center"/>
        </w:trPr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spacing w:line="38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3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pStyle w:val="a7"/>
              <w:widowControl/>
              <w:spacing w:line="38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（5）民主集中制执行不到位。“三重一大”制度执行程序不规范，2017年个别“三重一大”事项未按班子主要负责人末位发言的相关规定进行民主决策。</w:t>
            </w:r>
          </w:p>
        </w:tc>
        <w:tc>
          <w:tcPr>
            <w:tcW w:w="2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pStyle w:val="a7"/>
              <w:widowControl/>
              <w:spacing w:line="38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2018年严格按照要求执行“三重一大”事项集体决策制度，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低保取消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（5月28日）、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低保边缘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初步名单确认（11月15日）、社区预算追加（5月28日）等民主决策事项，在集体讨论的基础上，邀请监委会成员进行监督。</w:t>
            </w:r>
          </w:p>
        </w:tc>
      </w:tr>
      <w:tr w:rsidR="00C7548E" w:rsidTr="00C7548E">
        <w:trPr>
          <w:trHeight w:val="1293"/>
          <w:jc w:val="center"/>
        </w:trPr>
        <w:tc>
          <w:tcPr>
            <w:tcW w:w="190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spacing w:line="38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pStyle w:val="a7"/>
              <w:widowControl/>
              <w:spacing w:line="38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（6）领导组织合作社建设不力。戴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墅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村集体经济股份合作社、村民小组长未按规定及时换届。</w:t>
            </w:r>
          </w:p>
        </w:tc>
        <w:tc>
          <w:tcPr>
            <w:tcW w:w="2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pStyle w:val="a7"/>
              <w:widowControl/>
              <w:spacing w:line="38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2019年按照计划及上级要求，统一进行换届。</w:t>
            </w:r>
          </w:p>
        </w:tc>
      </w:tr>
      <w:tr w:rsidR="00C7548E" w:rsidTr="00C7548E">
        <w:trPr>
          <w:trHeight w:val="1230"/>
          <w:jc w:val="center"/>
        </w:trPr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spacing w:line="38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4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pStyle w:val="a7"/>
              <w:widowControl/>
              <w:spacing w:line="38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（7）理论学习不深不透。被动学习多，主动学习少，学习的主动性、系统性不够。</w:t>
            </w:r>
          </w:p>
        </w:tc>
        <w:tc>
          <w:tcPr>
            <w:tcW w:w="2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pStyle w:val="a7"/>
              <w:widowControl/>
              <w:spacing w:line="38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一是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2018年运用远程教育，每月20日为固定学习日，组织党员进行理论学习。</w:t>
            </w: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二是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每季度支部组织大党课学习，自2018年10月起党小组会议上小党课，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微信线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上推党课。三是</w:t>
            </w: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2018年2月及6</w:t>
            </w:r>
            <w:proofErr w:type="gramStart"/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月分</w:t>
            </w:r>
            <w:proofErr w:type="gramEnd"/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别向社区党员发放《党的十九大报告》、《新时代 新思想》，鼓励党员自主学习。</w:t>
            </w:r>
          </w:p>
        </w:tc>
      </w:tr>
      <w:tr w:rsidR="00C7548E" w:rsidTr="00C7548E">
        <w:trPr>
          <w:trHeight w:val="593"/>
          <w:jc w:val="center"/>
        </w:trPr>
        <w:tc>
          <w:tcPr>
            <w:tcW w:w="190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spacing w:line="38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pStyle w:val="a7"/>
              <w:widowControl/>
              <w:spacing w:line="38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（8）理论联系实际不紧。社区管理谋划不足，运作社区的意识与能力不强，撤村建居后部分社区干部仍沿用管理行政村的方式方法，适应工作新模式的能力不强</w:t>
            </w:r>
          </w:p>
        </w:tc>
        <w:tc>
          <w:tcPr>
            <w:tcW w:w="2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pStyle w:val="a7"/>
              <w:widowControl/>
              <w:spacing w:line="40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一是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11月12日组织召开社区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网格员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会议，会议上强调要以严肃认真的态度落实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网格员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巡查制度。</w:t>
            </w: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二是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11月19日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网格员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入户发放“扫黑除恶”宣传手册，教育居民如何使用“网格化社会治理居民版”小程序，从而做到居民可以自己发现问题上报问题。</w:t>
            </w:r>
          </w:p>
        </w:tc>
      </w:tr>
      <w:tr w:rsidR="00C7548E" w:rsidTr="00C7548E">
        <w:trPr>
          <w:trHeight w:val="593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spacing w:line="38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5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pStyle w:val="a7"/>
              <w:widowControl/>
              <w:spacing w:line="38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（9）党总支未对意识形态工作责任制落实进行专题研究和工作布置。</w:t>
            </w:r>
          </w:p>
        </w:tc>
        <w:tc>
          <w:tcPr>
            <w:tcW w:w="2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pStyle w:val="a7"/>
              <w:widowControl/>
              <w:spacing w:line="38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一是在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社区成立了意识形态工作领导小组，社区党总支书记吴才兴担任组长，是第一责任人，全面负责意识形态工作的常态化、制度化和科学化，主抓推进、落实、督查等工作。</w:t>
            </w: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二是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2018年5月26日下午，望湖社区党总支召集社区党员群众观看了《巡视利剑》，开展专题廉政教育意识形态工作。</w:t>
            </w: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三是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2018年6月3日，学习《新时代面对面》、《习近平新时代中国特色社会主义思想》等理论书籍，强化党员干部意识形态教育。四是2018年7月28日，组织全体党员观看廉政教育纪录片《全面从严治党不停步》，以典型案例为触角，将巡视的细节及反腐的力度真实呈现于荧屏前。五是2018年10月27日，组织党员群众开展“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lastRenderedPageBreak/>
              <w:t>强党性修养”专题教育活动，做讲政治有信念、讲道德有品行、讲奉献有作为的合格党员。六是积极发掘身边的优秀榜样，11月28日社区居民梅彩萍当选2018年“常州好人”孝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老爱亲类候选人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。</w:t>
            </w:r>
          </w:p>
        </w:tc>
      </w:tr>
      <w:tr w:rsidR="00C7548E" w:rsidTr="00C7548E">
        <w:trPr>
          <w:trHeight w:val="983"/>
          <w:jc w:val="center"/>
        </w:trPr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spacing w:line="38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pStyle w:val="a7"/>
              <w:widowControl/>
              <w:spacing w:line="38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（10）党建工作重视不够。社区党建日常工作由非党总支委员负责；党费收缴存在一年一收和代扣现象；党员转进转出登记不及时、不规范，对长期不参加活动的党员缺少管理措施。</w:t>
            </w:r>
          </w:p>
        </w:tc>
        <w:tc>
          <w:tcPr>
            <w:tcW w:w="2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 w:rsidP="00F018E6">
            <w:pPr>
              <w:pStyle w:val="a7"/>
              <w:widowControl/>
              <w:spacing w:line="360" w:lineRule="exact"/>
              <w:ind w:firstLineChars="0" w:firstLine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一是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党总支副书记协助党建工作，强化社区党建品牌。2018年社区党建品牌为“望湖党员大妈365”志愿服务。</w:t>
            </w: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二是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2018年党员转进转出均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已电子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存档。</w:t>
            </w: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三是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2018年已按照社区实际情况制定党员出勤考核标准，加强党员教育，从严管党，10月20日、27日纪检委员已找长期不参加活动的党员进行谈话，教育。</w:t>
            </w:r>
          </w:p>
        </w:tc>
      </w:tr>
      <w:tr w:rsidR="00C7548E" w:rsidTr="00C7548E">
        <w:trPr>
          <w:trHeight w:val="573"/>
          <w:jc w:val="center"/>
        </w:trPr>
        <w:tc>
          <w:tcPr>
            <w:tcW w:w="190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pStyle w:val="a7"/>
              <w:widowControl/>
              <w:spacing w:line="38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（11）干部队伍力量不足。大学生村官驻村参与具体工作少，作用发挥不明显。</w:t>
            </w:r>
          </w:p>
        </w:tc>
        <w:tc>
          <w:tcPr>
            <w:tcW w:w="2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pStyle w:val="a7"/>
              <w:widowControl/>
              <w:spacing w:line="40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一是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大学生村官参加社区工作例会，参加社区分工，负责党建工作。</w:t>
            </w:r>
            <w:r>
              <w:rPr>
                <w:rFonts w:ascii="仿宋_GB2312" w:eastAsia="仿宋_GB2312" w:hAnsi="Calibri" w:cs="Calibri" w:hint="eastAsia"/>
                <w:sz w:val="24"/>
                <w:szCs w:val="24"/>
              </w:rPr>
              <w:t>二是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大学生村官负责党建品牌工作，2018年以来开展了党员大妈365志愿者活动培训、急救讲座（8月20日）、“家风家训伴我成长”主题分享会（8月30日）、“望湖党员妈妈”（9月23日）等活动。</w:t>
            </w:r>
          </w:p>
        </w:tc>
      </w:tr>
      <w:tr w:rsidR="00C7548E" w:rsidTr="00C7548E">
        <w:trPr>
          <w:trHeight w:val="663"/>
          <w:jc w:val="center"/>
        </w:trPr>
        <w:tc>
          <w:tcPr>
            <w:tcW w:w="190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pStyle w:val="a7"/>
              <w:widowControl/>
              <w:spacing w:line="38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（12）党员活动经费使用不当。</w:t>
            </w:r>
            <w:r>
              <w:rPr>
                <w:rStyle w:val="font81"/>
                <w:rFonts w:hAnsi="宋体" w:hint="default"/>
                <w:bCs/>
                <w:color w:val="auto"/>
                <w:sz w:val="24"/>
                <w:szCs w:val="24"/>
              </w:rPr>
              <w:t>2015-2017年以每人每年500元标准发放慰问费至社区干部中的党员。</w:t>
            </w:r>
          </w:p>
        </w:tc>
        <w:tc>
          <w:tcPr>
            <w:tcW w:w="2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pStyle w:val="a7"/>
              <w:widowControl/>
              <w:spacing w:line="40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一是11月24日望湖社区党总支召开党员大会，向党员强调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党员活动经费按《关于新桥镇基层党组织党建活动经费管理办法的通知》使用，主要用于党员活动阵地建设、困难党员及老党员慰问、党建活动支出。</w:t>
            </w: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二是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2018年已开展了集体观影；家风润万家，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孝善满望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湖-百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人绘伞活动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；好家风系列座谈等党员活动：。</w:t>
            </w:r>
          </w:p>
        </w:tc>
      </w:tr>
      <w:tr w:rsidR="00C7548E" w:rsidTr="00C7548E">
        <w:trPr>
          <w:cantSplit/>
          <w:trHeight w:val="722"/>
          <w:jc w:val="center"/>
        </w:trPr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spacing w:line="38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7</w:t>
            </w:r>
          </w:p>
        </w:tc>
        <w:tc>
          <w:tcPr>
            <w:tcW w:w="2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pStyle w:val="a7"/>
              <w:widowControl/>
              <w:spacing w:line="38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（13）工作作风不严不实。重点工作推进力度不足。仍有6户未完成拆迁；联系群众不紧，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低保政策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宣传不到位，个别低保户被调整时不理解并发生矛盾。</w:t>
            </w:r>
          </w:p>
        </w:tc>
        <w:tc>
          <w:tcPr>
            <w:tcW w:w="25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pStyle w:val="a7"/>
              <w:widowControl/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一是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持续推进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遗留户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拆迁工作，已多次与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遗留户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进行磋商，但因双方对于拆迁条款未达成一致意见，未能完成拆迁任务，下一步，将针对意见不一的地方继续进行重点洽谈，争取早日完成拆迁。</w:t>
            </w:r>
          </w:p>
        </w:tc>
      </w:tr>
      <w:tr w:rsidR="00C7548E" w:rsidTr="00C7548E">
        <w:trPr>
          <w:cantSplit/>
          <w:trHeight w:val="808"/>
          <w:jc w:val="center"/>
        </w:trPr>
        <w:tc>
          <w:tcPr>
            <w:tcW w:w="190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spacing w:line="38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pStyle w:val="a7"/>
              <w:widowControl/>
              <w:spacing w:line="38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pStyle w:val="a7"/>
              <w:widowControl/>
              <w:spacing w:line="360" w:lineRule="exact"/>
              <w:ind w:firstLineChars="0" w:firstLine="0"/>
              <w:jc w:val="left"/>
              <w:rPr>
                <w:rFonts w:ascii="仿宋_GB2312" w:eastAsia="仿宋_GB2312" w:hAnsi="Calibri" w:cs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二是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针对个别低保户，11月13日社区工作人员再次上门解释、沟通，取得了谅解和支持。 </w:t>
            </w:r>
          </w:p>
        </w:tc>
      </w:tr>
      <w:tr w:rsidR="00C7548E" w:rsidTr="00C7548E">
        <w:trPr>
          <w:cantSplit/>
          <w:trHeight w:val="1058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spacing w:line="38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8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pStyle w:val="a7"/>
              <w:widowControl/>
              <w:spacing w:line="38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（14）纪检委员对工作职责认识不清，履职未见记录，对苗头性、倾向性问题开展提醒谈话不够，2015-2017年有4名党员违反纪律受处分。</w:t>
            </w:r>
          </w:p>
        </w:tc>
        <w:tc>
          <w:tcPr>
            <w:tcW w:w="2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 w:rsidP="00F018E6">
            <w:pPr>
              <w:pStyle w:val="a7"/>
              <w:widowControl/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一是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纪检委员认真学习理论知识，武装思想大脑，积极参与居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公开、党务公开的监督工作。积极参加镇纪委举办的业务培训，及时更新思想增长知识。</w:t>
            </w: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二是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纪检委员找问题党员进行谈话，做好谈话记录。</w:t>
            </w:r>
          </w:p>
        </w:tc>
      </w:tr>
      <w:tr w:rsidR="00C7548E" w:rsidTr="00C7548E">
        <w:trPr>
          <w:cantSplit/>
          <w:trHeight w:val="1068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spacing w:line="38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9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pStyle w:val="a7"/>
              <w:widowControl/>
              <w:spacing w:line="38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（15）主体责任落实不力。2017年党总支专题研究党风廉政建设次数不足，未与班子成员和下属党支部签订党风廉政建设责任书，未制定党风廉政建设责任清单。</w:t>
            </w:r>
          </w:p>
        </w:tc>
        <w:tc>
          <w:tcPr>
            <w:tcW w:w="2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pStyle w:val="a7"/>
              <w:widowControl/>
              <w:spacing w:line="42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一是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2018年社区党总支于7月5日、9月13日组织召开党员大会专题研究党风廉政建设。</w:t>
            </w: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二是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2018年调整支部后已与党支部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签署党风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廉政建设责任书并制定党风廉政责任清单。</w:t>
            </w: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三是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10月30日组织召开了“加强党性修养”教育专题座谈会，会议上强调党员要严守党的政治纪律和政治规矩，做到“对党忠诚、敢于担当”。</w:t>
            </w:r>
          </w:p>
        </w:tc>
      </w:tr>
      <w:tr w:rsidR="00C7548E" w:rsidTr="00C7548E">
        <w:trPr>
          <w:trHeight w:val="1294"/>
          <w:jc w:val="center"/>
        </w:trPr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spacing w:line="38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10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pStyle w:val="a7"/>
              <w:widowControl/>
              <w:spacing w:line="38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（16）工程管理制度执行不规范。2016年2月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仁和路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西侧地块平整工程预算49.44万元，未按规定招标直接发包；2016年7月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仁和路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东侧地块平整工程预算276万元、崇义路西侧地块绿化工程预算113万元，未进区级平台公开招标。</w:t>
            </w:r>
          </w:p>
        </w:tc>
        <w:tc>
          <w:tcPr>
            <w:tcW w:w="2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pStyle w:val="a7"/>
              <w:widowControl/>
              <w:spacing w:line="38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认真组织对镇下发的工程建设相关文件进行了学习，明确工程建设程序、招投标要求等。严格按照制度落实立项审批、招投标等手续。加强廉政教育，由社区纪检委员监督相关制度的执行。</w:t>
            </w:r>
          </w:p>
        </w:tc>
      </w:tr>
      <w:tr w:rsidR="00C7548E" w:rsidTr="00C7548E">
        <w:trPr>
          <w:trHeight w:val="557"/>
          <w:jc w:val="center"/>
        </w:trPr>
        <w:tc>
          <w:tcPr>
            <w:tcW w:w="190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spacing w:line="38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pStyle w:val="a7"/>
              <w:widowControl/>
              <w:spacing w:line="38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（17）部分集体资产管理存在流失风险。原常州丹银塑料容器有限公司（已拆迁）拖欠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转制款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本金20万元，已达二十年。</w:t>
            </w:r>
          </w:p>
        </w:tc>
        <w:tc>
          <w:tcPr>
            <w:tcW w:w="2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pStyle w:val="a7"/>
              <w:widowControl/>
              <w:spacing w:line="38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常州丹银塑料容器厂于11月15日上交15万元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转制款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本金，剩余5万元于12月10日前上交。</w:t>
            </w:r>
          </w:p>
        </w:tc>
      </w:tr>
      <w:tr w:rsidR="00C7548E" w:rsidTr="00C7548E">
        <w:trPr>
          <w:trHeight w:val="693"/>
          <w:jc w:val="center"/>
        </w:trPr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spacing w:line="38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11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pStyle w:val="a7"/>
              <w:widowControl/>
              <w:spacing w:line="38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（18）固定资产管理不到位。戴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墅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合作社办公楼、老年协会等房产已拆除多年，账面固定资产42.97万元未核销。</w:t>
            </w:r>
          </w:p>
        </w:tc>
        <w:tc>
          <w:tcPr>
            <w:tcW w:w="2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pStyle w:val="a7"/>
              <w:widowControl/>
              <w:spacing w:line="38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11月已启动清产核资，继续主动与财政部门协调，按照《常州市新北区新桥镇固定资产管理办法》文件规定，对原戴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墅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村委已拆迁办公楼、老年协会等账面固定资产进行评估入账。</w:t>
            </w:r>
          </w:p>
        </w:tc>
      </w:tr>
      <w:tr w:rsidR="00C7548E" w:rsidTr="00C7548E">
        <w:trPr>
          <w:trHeight w:val="1016"/>
          <w:jc w:val="center"/>
        </w:trPr>
        <w:tc>
          <w:tcPr>
            <w:tcW w:w="1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spacing w:line="38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pStyle w:val="a7"/>
              <w:widowControl/>
              <w:spacing w:line="38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（19）费用列支不规范。2015年6月支付新桥建筑公司附着物清障费69.56万元未见附着物清单；2015～2016年以日用品发票列支接待、会议费用1.42万元。</w:t>
            </w:r>
          </w:p>
        </w:tc>
        <w:tc>
          <w:tcPr>
            <w:tcW w:w="2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7548E" w:rsidRDefault="00C7548E">
            <w:pPr>
              <w:pStyle w:val="a7"/>
              <w:widowControl/>
              <w:spacing w:line="42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一是严格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按照《关于规范和改进公务接待工作的规定》要求，严格控制三公经费，全年保证零增长。</w:t>
            </w: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二是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按照《关于印发新桥镇工程建设项目审计管理办法（试行）的通知》文件要求核报2018年工程款，核对工程合同、审批单等资料，确保资料完整、程序合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。</w:t>
            </w:r>
          </w:p>
        </w:tc>
      </w:tr>
      <w:tr w:rsidR="00C7548E" w:rsidTr="00C7548E">
        <w:trPr>
          <w:trHeight w:val="558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8E" w:rsidRDefault="00C7548E">
            <w:pPr>
              <w:spacing w:line="38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12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8E" w:rsidRDefault="00C7548E">
            <w:pPr>
              <w:pStyle w:val="a7"/>
              <w:widowControl/>
              <w:spacing w:line="38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（20）未按相关规定程序聘用社区工作人员，仍需进一步整改。</w:t>
            </w:r>
          </w:p>
        </w:tc>
        <w:tc>
          <w:tcPr>
            <w:tcW w:w="2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8E" w:rsidRDefault="00C7548E">
            <w:pPr>
              <w:pStyle w:val="a7"/>
              <w:widowControl/>
              <w:spacing w:line="38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2018年12月31日合同到期后，不再续签。</w:t>
            </w:r>
          </w:p>
        </w:tc>
      </w:tr>
    </w:tbl>
    <w:tbl>
      <w:tblPr>
        <w:tblStyle w:val="a6"/>
        <w:tblpPr w:leftFromText="180" w:rightFromText="180" w:vertAnchor="text" w:tblpX="15091" w:tblpY="-20127"/>
        <w:tblOverlap w:val="never"/>
        <w:tblW w:w="1907" w:type="dxa"/>
        <w:tblLayout w:type="fixed"/>
        <w:tblLook w:val="04A0"/>
      </w:tblPr>
      <w:tblGrid>
        <w:gridCol w:w="1907"/>
      </w:tblGrid>
      <w:tr w:rsidR="00407F8E">
        <w:trPr>
          <w:trHeight w:val="30"/>
        </w:trPr>
        <w:tc>
          <w:tcPr>
            <w:tcW w:w="1907" w:type="dxa"/>
          </w:tcPr>
          <w:p w:rsidR="00407F8E" w:rsidRDefault="00407F8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407F8E" w:rsidRDefault="00407F8E">
      <w:pPr>
        <w:spacing w:line="360" w:lineRule="exact"/>
        <w:rPr>
          <w:rFonts w:ascii="仿宋_GB2312" w:eastAsia="仿宋_GB2312"/>
          <w:sz w:val="24"/>
          <w:szCs w:val="24"/>
        </w:rPr>
      </w:pPr>
      <w:bookmarkStart w:id="0" w:name="_GoBack"/>
      <w:bookmarkEnd w:id="0"/>
    </w:p>
    <w:sectPr w:rsidR="00407F8E" w:rsidSect="00407F8E">
      <w:footerReference w:type="default" r:id="rId8"/>
      <w:pgSz w:w="16783" w:h="23757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00E" w:rsidRDefault="00EB000E" w:rsidP="00407F8E">
      <w:r>
        <w:separator/>
      </w:r>
    </w:p>
  </w:endnote>
  <w:endnote w:type="continuationSeparator" w:id="0">
    <w:p w:rsidR="00EB000E" w:rsidRDefault="00EB000E" w:rsidP="00407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F8E" w:rsidRDefault="00705FB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407F8E" w:rsidRPr="00F95627" w:rsidRDefault="00407F8E" w:rsidP="00F95627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00E" w:rsidRDefault="00EB000E" w:rsidP="00407F8E">
      <w:r>
        <w:separator/>
      </w:r>
    </w:p>
  </w:footnote>
  <w:footnote w:type="continuationSeparator" w:id="0">
    <w:p w:rsidR="00EB000E" w:rsidRDefault="00EB000E" w:rsidP="00407F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4D0EEE"/>
    <w:rsid w:val="00030C1C"/>
    <w:rsid w:val="000842DF"/>
    <w:rsid w:val="001875EE"/>
    <w:rsid w:val="001A48F4"/>
    <w:rsid w:val="001E4132"/>
    <w:rsid w:val="00321F81"/>
    <w:rsid w:val="00361400"/>
    <w:rsid w:val="00407F8E"/>
    <w:rsid w:val="004A72C0"/>
    <w:rsid w:val="004F65B4"/>
    <w:rsid w:val="00675EE1"/>
    <w:rsid w:val="006A3272"/>
    <w:rsid w:val="00705FBA"/>
    <w:rsid w:val="00727FFB"/>
    <w:rsid w:val="007F72E0"/>
    <w:rsid w:val="007F76B8"/>
    <w:rsid w:val="00883B56"/>
    <w:rsid w:val="008C2B89"/>
    <w:rsid w:val="009C6E37"/>
    <w:rsid w:val="009F46E4"/>
    <w:rsid w:val="00A56706"/>
    <w:rsid w:val="00AD0ECE"/>
    <w:rsid w:val="00AE7753"/>
    <w:rsid w:val="00AF794F"/>
    <w:rsid w:val="00C5500D"/>
    <w:rsid w:val="00C7548E"/>
    <w:rsid w:val="00CB7B5F"/>
    <w:rsid w:val="00D17022"/>
    <w:rsid w:val="00DB3451"/>
    <w:rsid w:val="00DF67D9"/>
    <w:rsid w:val="00E07A94"/>
    <w:rsid w:val="00E75BCF"/>
    <w:rsid w:val="00EB000E"/>
    <w:rsid w:val="00EC4705"/>
    <w:rsid w:val="00F018E6"/>
    <w:rsid w:val="00F256DE"/>
    <w:rsid w:val="00F332DE"/>
    <w:rsid w:val="00F95627"/>
    <w:rsid w:val="011F6F7D"/>
    <w:rsid w:val="02E37F73"/>
    <w:rsid w:val="04CD38E7"/>
    <w:rsid w:val="057E4D61"/>
    <w:rsid w:val="07C851C9"/>
    <w:rsid w:val="0946001C"/>
    <w:rsid w:val="09AA16AB"/>
    <w:rsid w:val="0AEE6AB1"/>
    <w:rsid w:val="0C3329C7"/>
    <w:rsid w:val="0D062BA8"/>
    <w:rsid w:val="0DA22AD4"/>
    <w:rsid w:val="11012212"/>
    <w:rsid w:val="1218747E"/>
    <w:rsid w:val="16906668"/>
    <w:rsid w:val="1C13564C"/>
    <w:rsid w:val="1CA90EED"/>
    <w:rsid w:val="1DA74633"/>
    <w:rsid w:val="1FC853EB"/>
    <w:rsid w:val="21B360B5"/>
    <w:rsid w:val="221B35F3"/>
    <w:rsid w:val="2490428B"/>
    <w:rsid w:val="24CE55FE"/>
    <w:rsid w:val="24D11248"/>
    <w:rsid w:val="274D0EEE"/>
    <w:rsid w:val="29D447E9"/>
    <w:rsid w:val="2F47765E"/>
    <w:rsid w:val="2FD616F1"/>
    <w:rsid w:val="313D4ED8"/>
    <w:rsid w:val="31BF3B05"/>
    <w:rsid w:val="337833D4"/>
    <w:rsid w:val="33E065C1"/>
    <w:rsid w:val="34153C51"/>
    <w:rsid w:val="37646997"/>
    <w:rsid w:val="37AD426F"/>
    <w:rsid w:val="392828B1"/>
    <w:rsid w:val="3B7707CB"/>
    <w:rsid w:val="3B831CD4"/>
    <w:rsid w:val="3CB12288"/>
    <w:rsid w:val="3F0F4956"/>
    <w:rsid w:val="3F5874F8"/>
    <w:rsid w:val="3F6C4721"/>
    <w:rsid w:val="3FAA6762"/>
    <w:rsid w:val="431817D1"/>
    <w:rsid w:val="439345E3"/>
    <w:rsid w:val="440C78BF"/>
    <w:rsid w:val="447B14C7"/>
    <w:rsid w:val="465433EE"/>
    <w:rsid w:val="47EE3AFA"/>
    <w:rsid w:val="48053AF0"/>
    <w:rsid w:val="483248D0"/>
    <w:rsid w:val="491077D8"/>
    <w:rsid w:val="49340088"/>
    <w:rsid w:val="4B277F99"/>
    <w:rsid w:val="4C5A1A18"/>
    <w:rsid w:val="5024690E"/>
    <w:rsid w:val="505E4859"/>
    <w:rsid w:val="51521049"/>
    <w:rsid w:val="51917506"/>
    <w:rsid w:val="54B44FF9"/>
    <w:rsid w:val="568F5746"/>
    <w:rsid w:val="575D2E76"/>
    <w:rsid w:val="584F16D3"/>
    <w:rsid w:val="592B6011"/>
    <w:rsid w:val="59854F45"/>
    <w:rsid w:val="5D244803"/>
    <w:rsid w:val="5EE27561"/>
    <w:rsid w:val="62F1676E"/>
    <w:rsid w:val="646B3EFC"/>
    <w:rsid w:val="659F63AE"/>
    <w:rsid w:val="65AF3CA4"/>
    <w:rsid w:val="67972DE0"/>
    <w:rsid w:val="68532D1D"/>
    <w:rsid w:val="69E76F42"/>
    <w:rsid w:val="6D535020"/>
    <w:rsid w:val="6D7B590C"/>
    <w:rsid w:val="74533E73"/>
    <w:rsid w:val="753D64A3"/>
    <w:rsid w:val="756057E2"/>
    <w:rsid w:val="76F058D7"/>
    <w:rsid w:val="77912062"/>
    <w:rsid w:val="77EE3D27"/>
    <w:rsid w:val="785B0866"/>
    <w:rsid w:val="79850C54"/>
    <w:rsid w:val="7CD440DA"/>
    <w:rsid w:val="7D18387C"/>
    <w:rsid w:val="7D6E11E4"/>
    <w:rsid w:val="7E7F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uiPriority="1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F8E"/>
    <w:pPr>
      <w:jc w:val="both"/>
    </w:pPr>
    <w:rPr>
      <w:rFonts w:ascii="宋体" w:hAnsi="宋体" w:cstheme="minorBidi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407F8E"/>
    <w:pPr>
      <w:keepNext/>
      <w:keepLines/>
      <w:widowControl w:val="0"/>
      <w:spacing w:line="560" w:lineRule="exact"/>
      <w:jc w:val="center"/>
      <w:outlineLvl w:val="0"/>
    </w:pPr>
    <w:rPr>
      <w:rFonts w:asciiTheme="minorHAnsi" w:eastAsia="方正小标宋简体" w:hAnsiTheme="minorHAnsi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07F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07F8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Subtitle"/>
    <w:basedOn w:val="a"/>
    <w:next w:val="a"/>
    <w:uiPriority w:val="11"/>
    <w:qFormat/>
    <w:rsid w:val="00407F8E"/>
    <w:pPr>
      <w:widowControl w:val="0"/>
      <w:spacing w:line="312" w:lineRule="auto"/>
      <w:jc w:val="center"/>
      <w:outlineLvl w:val="1"/>
    </w:pPr>
    <w:rPr>
      <w:rFonts w:asciiTheme="majorHAnsi" w:eastAsia="黑体" w:hAnsiTheme="majorHAnsi" w:cstheme="majorBidi"/>
      <w:bCs/>
      <w:kern w:val="28"/>
      <w:sz w:val="28"/>
      <w:szCs w:val="32"/>
    </w:rPr>
  </w:style>
  <w:style w:type="table" w:styleId="a6">
    <w:name w:val="Table Grid"/>
    <w:basedOn w:val="a1"/>
    <w:qFormat/>
    <w:rsid w:val="00407F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不明显强调1"/>
    <w:basedOn w:val="a0"/>
    <w:uiPriority w:val="19"/>
    <w:qFormat/>
    <w:rsid w:val="00407F8E"/>
    <w:rPr>
      <w:rFonts w:eastAsia="黑体"/>
      <w:iCs/>
      <w:color w:val="404040" w:themeColor="text1" w:themeTint="BF"/>
      <w:sz w:val="28"/>
    </w:rPr>
  </w:style>
  <w:style w:type="character" w:customStyle="1" w:styleId="1Char">
    <w:name w:val="标题 1 Char"/>
    <w:basedOn w:val="a0"/>
    <w:link w:val="1"/>
    <w:uiPriority w:val="9"/>
    <w:qFormat/>
    <w:rsid w:val="00407F8E"/>
    <w:rPr>
      <w:rFonts w:asciiTheme="minorHAnsi" w:eastAsia="方正小标宋简体" w:hAnsiTheme="minorHAnsi"/>
      <w:bCs/>
      <w:kern w:val="44"/>
      <w:sz w:val="36"/>
      <w:szCs w:val="44"/>
    </w:rPr>
  </w:style>
  <w:style w:type="paragraph" w:styleId="a7">
    <w:name w:val="List Paragraph"/>
    <w:basedOn w:val="a"/>
    <w:uiPriority w:val="34"/>
    <w:qFormat/>
    <w:rsid w:val="00407F8E"/>
    <w:pPr>
      <w:widowControl w:val="0"/>
      <w:ind w:firstLineChars="200" w:firstLine="420"/>
    </w:pPr>
    <w:rPr>
      <w:rFonts w:asciiTheme="minorHAnsi" w:eastAsiaTheme="minorEastAsia" w:hAnsiTheme="minorHAnsi"/>
      <w:kern w:val="2"/>
      <w:szCs w:val="22"/>
    </w:rPr>
  </w:style>
  <w:style w:type="character" w:customStyle="1" w:styleId="font81">
    <w:name w:val="font81"/>
    <w:basedOn w:val="a0"/>
    <w:qFormat/>
    <w:rsid w:val="00407F8E"/>
    <w:rPr>
      <w:rFonts w:ascii="仿宋_GB2312" w:eastAsia="仿宋_GB2312" w:cs="仿宋_GB2312" w:hint="eastAsia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7565BE-5301-4E8C-B3AC-8ECBB365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78</TotalTime>
  <Pages>2</Pages>
  <Words>568</Words>
  <Characters>3243</Characters>
  <Application>Microsoft Office Word</Application>
  <DocSecurity>0</DocSecurity>
  <Lines>27</Lines>
  <Paragraphs>7</Paragraphs>
  <ScaleCrop>false</ScaleCrop>
  <Company>MS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万佳月</dc:creator>
  <cp:lastModifiedBy>hp</cp:lastModifiedBy>
  <cp:revision>14</cp:revision>
  <cp:lastPrinted>2018-12-11T03:30:00Z</cp:lastPrinted>
  <dcterms:created xsi:type="dcterms:W3CDTF">2018-10-23T07:40:00Z</dcterms:created>
  <dcterms:modified xsi:type="dcterms:W3CDTF">2018-12-12T03:16:00Z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