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浦河社区党组织巡察整改情况汇总表</w:t>
      </w:r>
    </w:p>
    <w:p>
      <w:pPr>
        <w:spacing w:line="560" w:lineRule="exact"/>
        <w:jc w:val="center"/>
        <w:rPr>
          <w:rFonts w:ascii="楷体_GB2312" w:eastAsia="楷体_GB2312"/>
          <w:sz w:val="32"/>
          <w:szCs w:val="32"/>
        </w:rPr>
      </w:pPr>
    </w:p>
    <w:tbl>
      <w:tblPr>
        <w:tblStyle w:val="4"/>
        <w:tblW w:w="14040" w:type="dxa"/>
        <w:jc w:val="center"/>
        <w:tblInd w:w="-3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4678"/>
        <w:gridCol w:w="8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tblHeader/>
          <w:jc w:val="center"/>
        </w:trPr>
        <w:tc>
          <w:tcPr>
            <w:tcW w:w="999"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序号</w:t>
            </w:r>
          </w:p>
        </w:tc>
        <w:tc>
          <w:tcPr>
            <w:tcW w:w="4678"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反馈问题</w:t>
            </w:r>
          </w:p>
        </w:tc>
        <w:tc>
          <w:tcPr>
            <w:tcW w:w="8363" w:type="dxa"/>
            <w:vAlign w:val="center"/>
          </w:tcPr>
          <w:p>
            <w:pPr>
              <w:spacing w:line="400" w:lineRule="exact"/>
              <w:jc w:val="center"/>
              <w:rPr>
                <w:rFonts w:ascii="黑体" w:hAnsi="黑体" w:eastAsia="黑体"/>
                <w:sz w:val="28"/>
                <w:szCs w:val="28"/>
              </w:rPr>
            </w:pPr>
            <w:r>
              <w:rPr>
                <w:rFonts w:hint="eastAsia" w:ascii="黑体" w:hAnsi="黑体" w:eastAsia="黑体"/>
                <w:sz w:val="28"/>
                <w:szCs w:val="28"/>
              </w:rPr>
              <w:t>整改成效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4"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研究谋划村级经济发展能力不足。</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积极研究谋划村级经济发展。一是针对学习方式单一问题，召开社区干部会议，计划去邻镇与本社区有共同点的齐梁社区参观学习他们先进社区管理制度模式、党建情况、居家养老服务中心等。二是已出台社区例会制度，按照每周例会要求，对上周的工作难点热点问题大家群策群力集体讨论，对每周工作除了做好常规工作外，明确当前工作任务，收效显著。三是社区对现有资源进行盘点盘活，把便民服务后面的一栋危旧楼房进行改造，建立健全党建品牌室、档案室、调解室，充分体现党建引领作用，把属于集体资产的原朝东小学进行改造，并召开村民代表大会商议、报镇农经三资平台进行公开招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0"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重点工作推进不彻底。“263”专项行动巡查监管力度不足。</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稳步推进重点工作。一是请镇相关部门来联合执法，已取缔废塑料粒子厂11家。二是组建企业环保突击检查队伍，进行巡查督查工作。三是召开全体居民小组长会议，明确环保工作的重要性。四是对于巡查中发现的环保、安全、违章等苗头性问题及时制止。五是召开社区专职网格员工作例会，明确巡查要求，对于发现的问题做到立即上报、立即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5"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惠民政策宣传不到位。主动宣传民政、医疗等党的惠民政策不够，方式方法单一，群众知晓度不高。</w:t>
            </w:r>
          </w:p>
        </w:tc>
        <w:tc>
          <w:tcPr>
            <w:tcW w:w="8363" w:type="dxa"/>
            <w:vAlign w:val="center"/>
          </w:tcPr>
          <w:p>
            <w:pPr>
              <w:spacing w:line="360" w:lineRule="exact"/>
              <w:rPr>
                <w:rFonts w:ascii="仿宋_GB2312" w:hAnsi="仿宋_GB2312" w:eastAsia="仿宋_GB2312" w:cs="仿宋_GB2312"/>
                <w:color w:val="00B0F0"/>
                <w:sz w:val="28"/>
                <w:szCs w:val="28"/>
              </w:rPr>
            </w:pPr>
            <w:r>
              <w:rPr>
                <w:rFonts w:hint="eastAsia" w:ascii="仿宋_GB2312" w:hAnsi="仿宋_GB2312" w:eastAsia="仿宋_GB2312" w:cs="仿宋_GB2312"/>
                <w:sz w:val="28"/>
                <w:szCs w:val="28"/>
              </w:rPr>
              <w:t>多措并举拓宽惠民政策宣传渠道。一是召开居民小组长、专职网格员会议，积极做好群众政策宣传工作，向居民宣传发放污水管网建设工程告村民书、医保缴费政策、义诊活动、白内障免费体检工作、新北区退休职工免费体检等。二是在征兵期间通过悬挂横幅、发放征兵宣传手册、党员微信群通知，确保符合年纪的群众能够积极参与。三是针对社区的助学活动，通过召开居民组长会议回去宣传、通过美丽浦河微信号、党员微信群等方式及时发布消息，让符合条件的居民及时带孩子来社区领取大学生奖学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化解群众矛盾能力不足。矛盾处置方法简单，缺乏科学性、可行性。</w:t>
            </w:r>
          </w:p>
        </w:tc>
        <w:tc>
          <w:tcPr>
            <w:tcW w:w="8363" w:type="dxa"/>
            <w:vAlign w:val="center"/>
          </w:tcPr>
          <w:p>
            <w:pPr>
              <w:spacing w:line="360" w:lineRule="exact"/>
              <w:rPr>
                <w:rFonts w:ascii="仿宋_GB2312" w:hAnsi="仿宋_GB2312" w:eastAsia="仿宋_GB2312" w:cs="仿宋_GB2312"/>
                <w:color w:val="00B0F0"/>
                <w:sz w:val="28"/>
                <w:szCs w:val="28"/>
              </w:rPr>
            </w:pPr>
            <w:r>
              <w:rPr>
                <w:rFonts w:hint="eastAsia" w:ascii="仿宋_GB2312" w:hAnsi="仿宋_GB2312" w:eastAsia="仿宋_GB2312" w:cs="仿宋_GB2312"/>
                <w:sz w:val="28"/>
                <w:szCs w:val="28"/>
              </w:rPr>
              <w:t>加强基层干部矛盾处理能力。一是召开矛盾调解员、老娘舅专题会议，共同商议矛盾调解办法。二是请矛盾双方当事人信任且热心社会公益人士参与调解，争取把大事化小、小事化了。三是建立矛盾信访工作台账，做到凡事有记录。四是积极向上争取为民办事政策，争取获得项目和资金扶持，借省级环保部门对河道整治机遇，积极争取对接区新美水务来本社区进行污水管网接管工程，后宣庄村、朝东村、朝南村、及浦河街道污水管网工程建设现正在顺利推进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4"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“三重一大”制度执行形式化。民主决策氛围不浓，台账记录未体现民主讨论过程。</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严格执行落实“三重一大”制度。一是召开全体社区干部集中学习“三重一大”制度，明确记录的规范性，并要求记录台账专员把涉及重大资金、重大项目的内容，列成条目式。二是召开支委会，会上统一商议社区重大资金、重大项目安排，比如便民服务室和档案室、丁家排水渠工程等的改造。三是在社区门口设立了信箱，在公告栏公布社区监督电话，已申请建成美丽浦河微信号，并及时发布社区为民服务相关工作，确保群众知情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0"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意识形态工作责任制落实不力。意识形态工作责任书签订流于形式，党总支未进行专题研究，未进行工作布置。</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坚决落实意识形态工作责任制。一是已召开社区干部关于思想意识形态工作会议，分别学习两会精神和学习习近平新时代中国特色社会主义思想。二是在8月份组织的希望来吧和助学金发放仪式工作中，引导孩子们要树立正确的思想观、人生观、价值观。三是对引导老年人积极参与各类健身活动，激发社区居民培养健康的文化娱乐项目，浦河社区常乐舞蹈队和康乐舞蹈队积极参加了镇举办的健身舞大赛，分别取得三等奖和优胜奖优异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0"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落实党建工作责任制不实。党总支研究行政事务多，研究党建工作少，全面性不够。</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党建工作责任制。一是三个下属党支部已制定年度计划，7月份召开全体党员大会，总结上半年度工作，部署下半年工作计划。二是制定党员会议制度规范，明确履行会议制度。三是积极开展“解放思想大讨论座谈会”，社区老干部、老党员、村民代表、两委班子成员，以“我为家乡献一计”为主题，大家畅所欲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0"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党组织建设薄弱，党费收缴不规范。</w:t>
            </w:r>
          </w:p>
        </w:tc>
        <w:tc>
          <w:tcPr>
            <w:tcW w:w="8363" w:type="dxa"/>
            <w:vAlign w:val="center"/>
          </w:tcPr>
          <w:p>
            <w:pPr>
              <w:spacing w:line="360" w:lineRule="exact"/>
              <w:rPr>
                <w:rFonts w:ascii="仿宋_GB2312" w:hAnsi="仿宋_GB2312" w:eastAsia="仿宋_GB2312" w:cs="仿宋_GB2312"/>
                <w:color w:val="00B0F0"/>
                <w:sz w:val="28"/>
                <w:szCs w:val="28"/>
              </w:rPr>
            </w:pPr>
            <w:r>
              <w:rPr>
                <w:rFonts w:hint="eastAsia" w:ascii="仿宋_GB2312" w:hAnsi="仿宋_GB2312" w:eastAsia="仿宋_GB2312" w:cs="仿宋_GB2312"/>
                <w:sz w:val="28"/>
                <w:szCs w:val="28"/>
              </w:rPr>
              <w:t>加强党组织建设。一是积极参加镇组织口的党务干部培训班学习，主要对党员发展条例、党费收缴规范进行学习。二是由专人负责三个支部的一本通台账，并交于社区党总支组织委员检查。三是按照规定严格收缴党费。四是把流进流出党员，及时做好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9</w:t>
            </w:r>
          </w:p>
        </w:tc>
        <w:tc>
          <w:tcPr>
            <w:tcW w:w="4678" w:type="dxa"/>
            <w:vAlign w:val="center"/>
          </w:tcPr>
          <w:p>
            <w:pPr>
              <w:spacing w:line="3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组织生活会制度执行不到位。组织生活会重形式、轻实效，只有自我批评环节，未开展相互批评，质量不高，辣味不足。</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严格执行好组织生活会。一是制定组织生活会制度，从两委班子开始，带头开展真批评，开出辣味，相互搓背，互相帮助。二是每季度召开组织生活会，并做好台账相关记录。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5"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“三会一课”制度落实不到位。党小组活动少，作用发挥不强；部分年度支委会、党员大会召开次数不足。</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三会一课”制度。一是已把三会一课计划列入年度计划。二是七月份慰问困难党员，积极关心了解党员平时生活状况。三是下属三个支部每月开展一次支委会议。四是涉及一本通台账及三会一课记录簿合并，由三个支部的三名组织委员分别记录相关内容，确保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11</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党风廉政建设主体责任落实不到位。部分年度未研究制定党风廉政建设工作计划、目标要求和具体措施；党风廉政教育工作不扎实，形式呆板，方式单一。</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严格落实党风廉政建设。一是把廉政建设工作纳入年初工作计划。二是组织全体党员观看廉政警示教育片，在社区公示宣传栏上张贴廉政宣传工作。三是有党总书记找两委班子人员进行了谈心谈话，沟通了解彼此间对工作的态度，生活上予以关心，工作上予以支持，各支部书记初步列出党员谈心谈话名单，抽空逐步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3"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监督责任落实不到位。纪检委员担负社区行政事务多，对苗头性、倾向性问题开展提醒谈话不足，前哨探头作用发挥不明显。</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挥监督作用，落实监督主体责任。一是由纪检委员负责填写《村（社区）党风廉政建设“两个责任”记录簿》，已完成上半年度台账记录，分别开展专题工作会议、党风廉政宣传活动。二是纪检委员积极参加镇纪委组织的培训工作，并对新发展党员做好党纪教育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1"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13</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工作作风不实。排查掌握低保收入变化情况不到位。</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强化工作作风。一是对本社区的低保户摸底排查，对不符合要求的，找当事人解释宣传政策，去掉低保，对符合条件的困难家庭予以申请审核，低保工作长期动态管理。二是与镇民政办一起，对低保户逐户进行走访调查工作，了解真情。三是对困难残疾人员家庭进行走访，积极争取政策给予贫困残疾家庭进行帮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2"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14</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干部担当不足。攻坚克难办法不多，争先争优意识不强。</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发挥干部担当作用。一是召开两委班子民主专题会，面对社区集体经济薄弱，类似城乡结合部的社区环境复杂矛盾多的问题进行专题讨论，一起讨论攻坚克难办法。二是召开村民代表大会研究制定新村规民约，整理并制定出新村规民约发放到各户，进行宣传。三是针对社区外来人员多，环境卫生老大难问题，调整长效管理模式，请有一定群众基础且工作有责任心的人员承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0"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“三资三化”工作不到位。清产核资工作不到位，部分经营性资产尚未入账；村务监督委员会工作报告制度落实不到位；新农有“E”公众号推广缓慢，仅推广到村组干部层级，村民知晓率、参与率低。</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三资三化”工作落实到位。一是“三资”平台正在积极录入中。二是积极发挥居务监督委员会作用，完善工作制度，每月对社区财务、居务、党务进行监督，并做好相关台账记录。三是积极在社区大厅、公示栏、党员微信群、推广“新农有E”微信公众号，继续召开队长会议，号召居民们也都能积极关注“新农有E“”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999" w:type="dxa"/>
            <w:vAlign w:val="center"/>
          </w:tcPr>
          <w:p>
            <w:pPr>
              <w:spacing w:line="3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16</w:t>
            </w:r>
          </w:p>
        </w:tc>
        <w:tc>
          <w:tcPr>
            <w:tcW w:w="4678"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存在支付党员参加会议工资现象。</w:t>
            </w:r>
          </w:p>
        </w:tc>
        <w:tc>
          <w:tcPr>
            <w:tcW w:w="8363" w:type="dxa"/>
            <w:vAlign w:val="center"/>
          </w:tcPr>
          <w:p>
            <w:pPr>
              <w:spacing w:line="3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明确规范费用列支。召开各支部书记扩大会议，在传达上级文件精神时，明确党员权利义务，党员不能发会议工资，由各支部书记、党小组长、贯彻落实到每位党员。</w:t>
            </w:r>
          </w:p>
        </w:tc>
      </w:tr>
    </w:tbl>
    <w:p>
      <w:pPr>
        <w:spacing w:line="340" w:lineRule="exact"/>
        <w:ind w:right="-1470" w:rightChars="-700"/>
        <w:jc w:val="left"/>
        <w:rPr>
          <w:rFonts w:ascii="仿宋_GB2312" w:hAnsi="仿宋_GB2312" w:eastAsia="仿宋_GB2312" w:cs="仿宋_GB2312"/>
          <w:color w:val="000000" w:themeColor="text1"/>
          <w:spacing w:val="-8"/>
          <w:sz w:val="28"/>
          <w:szCs w:val="28"/>
          <w14:textFill>
            <w14:solidFill>
              <w14:schemeClr w14:val="tx1"/>
            </w14:solidFill>
          </w14:textFill>
        </w:rPr>
      </w:pPr>
    </w:p>
    <w:p>
      <w:pPr>
        <w:spacing w:line="560" w:lineRule="exact"/>
        <w:rPr>
          <w:rFonts w:ascii="黑体" w:hAnsi="黑体" w:eastAsia="黑体" w:cs="黑体"/>
          <w:sz w:val="32"/>
          <w:szCs w:val="32"/>
        </w:rPr>
      </w:pPr>
    </w:p>
    <w:p/>
    <w:p/>
    <w:p/>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E71387"/>
    <w:rsid w:val="57E7138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2018-10-22T06:49:00Z</dcterms:created>
  <dc:creator>幻铭鹤弈</dc:creator>
  <cp:lastModifiedBy>幻铭鹤弈</cp:lastModifiedBy>
  <dcterms:modified xsi:type="dcterms:W3CDTF">2018-10-22T06:49:30Z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